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charts/chart2.xml" ContentType="application/vnd.openxmlformats-officedocument.drawingml.chart+xml"/>
  <Override PartName="/word/charts/chart3.xml" ContentType="application/vnd.openxmlformats-officedocument.drawingml.chart+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36605" w:rsidRDefault="00B66616">
      <w:pPr>
        <w:spacing w:line="336" w:lineRule="auto"/>
        <w:ind w:firstLineChars="200" w:firstLine="720"/>
        <w:jc w:val="center"/>
        <w:rPr>
          <w:rFonts w:ascii="Times New Roman" w:eastAsia="方正小标宋简体" w:hAnsi="Times New Roman" w:cs="Times New Roman"/>
          <w:sz w:val="36"/>
          <w:szCs w:val="36"/>
        </w:rPr>
      </w:pPr>
      <w:r>
        <w:rPr>
          <w:rFonts w:ascii="Times New Roman" w:eastAsia="方正小标宋简体" w:hAnsi="Times New Roman" w:cs="Times New Roman"/>
          <w:sz w:val="36"/>
          <w:szCs w:val="36"/>
        </w:rPr>
        <w:t>江苏</w:t>
      </w:r>
      <w:r w:rsidR="006F2C96">
        <w:rPr>
          <w:rFonts w:ascii="Times New Roman" w:eastAsia="方正小标宋简体" w:hAnsi="Times New Roman" w:cs="Times New Roman" w:hint="eastAsia"/>
          <w:sz w:val="36"/>
          <w:szCs w:val="36"/>
        </w:rPr>
        <w:t>省</w:t>
      </w:r>
      <w:r>
        <w:rPr>
          <w:rFonts w:ascii="Times New Roman" w:eastAsia="方正小标宋简体" w:hAnsi="Times New Roman" w:cs="Times New Roman"/>
          <w:sz w:val="36"/>
          <w:szCs w:val="36"/>
        </w:rPr>
        <w:t>反垄断反不正当竞争司法工作</w:t>
      </w:r>
      <w:r>
        <w:rPr>
          <w:rFonts w:ascii="Times New Roman" w:eastAsia="方正小标宋简体" w:hAnsi="Times New Roman" w:cs="Times New Roman" w:hint="eastAsia"/>
          <w:sz w:val="36"/>
          <w:szCs w:val="36"/>
        </w:rPr>
        <w:t>情况</w:t>
      </w:r>
    </w:p>
    <w:p w:rsidR="00F36605" w:rsidRDefault="000F7A56">
      <w:pPr>
        <w:spacing w:line="336" w:lineRule="auto"/>
        <w:ind w:firstLineChars="200" w:firstLine="720"/>
        <w:jc w:val="center"/>
        <w:rPr>
          <w:rFonts w:ascii="Times New Roman" w:eastAsia="方正小标宋简体" w:hAnsi="Times New Roman" w:cs="Times New Roman"/>
          <w:sz w:val="36"/>
          <w:szCs w:val="36"/>
        </w:rPr>
      </w:pPr>
      <w:r>
        <w:rPr>
          <w:rFonts w:ascii="Times New Roman" w:eastAsia="方正小标宋简体" w:hAnsi="Times New Roman" w:cs="Times New Roman"/>
          <w:sz w:val="36"/>
          <w:szCs w:val="36"/>
        </w:rPr>
        <w:t>（</w:t>
      </w:r>
      <w:r>
        <w:rPr>
          <w:rFonts w:ascii="Times New Roman" w:eastAsia="方正小标宋简体" w:hAnsi="Times New Roman" w:cs="Times New Roman"/>
          <w:sz w:val="36"/>
          <w:szCs w:val="36"/>
        </w:rPr>
        <w:t>2019-2022</w:t>
      </w:r>
      <w:r>
        <w:rPr>
          <w:rFonts w:ascii="Times New Roman" w:eastAsia="方正小标宋简体" w:hAnsi="Times New Roman" w:cs="Times New Roman"/>
          <w:sz w:val="36"/>
          <w:szCs w:val="36"/>
        </w:rPr>
        <w:t>）</w:t>
      </w:r>
    </w:p>
    <w:p w:rsidR="00F36605" w:rsidRDefault="000F7A56">
      <w:pPr>
        <w:spacing w:line="336" w:lineRule="auto"/>
        <w:ind w:firstLineChars="200" w:firstLine="640"/>
        <w:jc w:val="center"/>
        <w:rPr>
          <w:rFonts w:ascii="Times New Roman" w:eastAsia="楷体" w:hAnsi="Times New Roman" w:cs="Times New Roman"/>
          <w:sz w:val="32"/>
          <w:szCs w:val="32"/>
        </w:rPr>
      </w:pPr>
      <w:r>
        <w:rPr>
          <w:rFonts w:ascii="Times New Roman" w:eastAsia="楷体" w:hAnsi="Times New Roman" w:cs="Times New Roman"/>
          <w:sz w:val="32"/>
          <w:szCs w:val="32"/>
        </w:rPr>
        <w:t>江苏省高级人民法院</w:t>
      </w:r>
    </w:p>
    <w:p w:rsidR="00F36605" w:rsidRDefault="00F36605">
      <w:pPr>
        <w:spacing w:line="336" w:lineRule="auto"/>
        <w:ind w:firstLineChars="200" w:firstLine="640"/>
        <w:rPr>
          <w:rFonts w:ascii="Times New Roman" w:eastAsia="仿宋_GB2312" w:hAnsi="Times New Roman" w:cs="Times New Roman"/>
          <w:sz w:val="32"/>
          <w:szCs w:val="32"/>
        </w:rPr>
      </w:pPr>
    </w:p>
    <w:p w:rsidR="0097500B" w:rsidRDefault="0097500B" w:rsidP="0097500B">
      <w:pPr>
        <w:spacing w:line="336" w:lineRule="auto"/>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2019</w:t>
      </w:r>
      <w:r>
        <w:rPr>
          <w:rFonts w:ascii="Times New Roman" w:eastAsia="仿宋_GB2312" w:hAnsi="Times New Roman" w:cs="Times New Roman"/>
          <w:sz w:val="32"/>
          <w:szCs w:val="32"/>
        </w:rPr>
        <w:t>年以来，江苏法院深入贯彻落</w:t>
      </w:r>
      <w:proofErr w:type="gramStart"/>
      <w:r>
        <w:rPr>
          <w:rFonts w:ascii="Times New Roman" w:eastAsia="仿宋_GB2312" w:hAnsi="Times New Roman" w:cs="Times New Roman"/>
          <w:sz w:val="32"/>
          <w:szCs w:val="32"/>
        </w:rPr>
        <w:t>实习近</w:t>
      </w:r>
      <w:proofErr w:type="gramEnd"/>
      <w:r>
        <w:rPr>
          <w:rFonts w:ascii="Times New Roman" w:eastAsia="仿宋_GB2312" w:hAnsi="Times New Roman" w:cs="Times New Roman"/>
          <w:sz w:val="32"/>
          <w:szCs w:val="32"/>
        </w:rPr>
        <w:t>平法治思想以及中央、省委关于加强反垄断反不正当竞争执法司法决策部署，切实贯彻新修改的反不正当竞争法和反垄断法，严厉惩治各类扰乱竞争秩序的不正当竞争和垄断行为，为维护公平竞争的市场秩序和创新环境，营造市场化法治化国际化一流营商环境</w:t>
      </w:r>
      <w:r>
        <w:rPr>
          <w:rFonts w:ascii="Times New Roman" w:eastAsia="仿宋_GB2312" w:hAnsi="Times New Roman" w:cs="Times New Roman" w:hint="eastAsia"/>
          <w:sz w:val="32"/>
          <w:szCs w:val="32"/>
        </w:rPr>
        <w:t>，</w:t>
      </w:r>
      <w:r>
        <w:rPr>
          <w:rFonts w:ascii="Times New Roman" w:eastAsia="仿宋_GB2312" w:hAnsi="Times New Roman" w:cs="Times New Roman"/>
          <w:sz w:val="32"/>
          <w:szCs w:val="32"/>
        </w:rPr>
        <w:t>推动高质量发展，提供</w:t>
      </w:r>
      <w:r>
        <w:rPr>
          <w:rFonts w:ascii="Times New Roman" w:eastAsia="仿宋_GB2312" w:hAnsi="Times New Roman" w:cs="Times New Roman" w:hint="eastAsia"/>
          <w:sz w:val="32"/>
          <w:szCs w:val="32"/>
        </w:rPr>
        <w:t>强</w:t>
      </w:r>
      <w:r>
        <w:rPr>
          <w:rFonts w:ascii="Times New Roman" w:eastAsia="仿宋_GB2312" w:hAnsi="Times New Roman" w:cs="Times New Roman"/>
          <w:sz w:val="32"/>
          <w:szCs w:val="32"/>
        </w:rPr>
        <w:t>有力</w:t>
      </w:r>
      <w:r>
        <w:rPr>
          <w:rFonts w:ascii="Times New Roman" w:eastAsia="仿宋_GB2312" w:hAnsi="Times New Roman" w:cs="Times New Roman" w:hint="eastAsia"/>
          <w:sz w:val="32"/>
          <w:szCs w:val="32"/>
        </w:rPr>
        <w:t>的</w:t>
      </w:r>
      <w:r>
        <w:rPr>
          <w:rFonts w:ascii="Times New Roman" w:eastAsia="仿宋_GB2312" w:hAnsi="Times New Roman" w:cs="Times New Roman"/>
          <w:sz w:val="32"/>
          <w:szCs w:val="32"/>
        </w:rPr>
        <w:t>司法服务与保障。</w:t>
      </w:r>
    </w:p>
    <w:p w:rsidR="00F36605" w:rsidRDefault="000F7A56">
      <w:pPr>
        <w:spacing w:line="336" w:lineRule="auto"/>
        <w:ind w:firstLineChars="200" w:firstLine="640"/>
        <w:rPr>
          <w:rFonts w:ascii="Times New Roman" w:eastAsia="黑体" w:hAnsi="Times New Roman" w:cs="Times New Roman"/>
          <w:sz w:val="32"/>
          <w:szCs w:val="32"/>
        </w:rPr>
      </w:pPr>
      <w:r>
        <w:rPr>
          <w:rFonts w:ascii="Times New Roman" w:eastAsia="黑体" w:hAnsi="Times New Roman" w:cs="Times New Roman"/>
          <w:sz w:val="32"/>
          <w:szCs w:val="32"/>
        </w:rPr>
        <w:t>一、反垄断反不正当竞争案件总体情况</w:t>
      </w:r>
    </w:p>
    <w:p w:rsidR="00F36605" w:rsidRDefault="000F7A56">
      <w:pPr>
        <w:spacing w:line="336" w:lineRule="auto"/>
        <w:ind w:firstLineChars="200" w:firstLine="640"/>
        <w:rPr>
          <w:rFonts w:ascii="Times New Roman" w:eastAsia="仿宋_GB2312" w:hAnsi="Times New Roman" w:cs="Times New Roman"/>
          <w:sz w:val="32"/>
          <w:szCs w:val="32"/>
          <w:highlight w:val="yellow"/>
        </w:rPr>
      </w:pPr>
      <w:r>
        <w:rPr>
          <w:rFonts w:ascii="Times New Roman" w:eastAsia="仿宋_GB2312" w:hAnsi="Times New Roman" w:cs="Times New Roman"/>
          <w:sz w:val="32"/>
          <w:szCs w:val="32"/>
        </w:rPr>
        <w:t>2019</w:t>
      </w:r>
      <w:r>
        <w:rPr>
          <w:rFonts w:ascii="Times New Roman" w:eastAsia="仿宋_GB2312" w:hAnsi="Times New Roman" w:cs="Times New Roman"/>
          <w:sz w:val="32"/>
          <w:szCs w:val="32"/>
        </w:rPr>
        <w:t>年至</w:t>
      </w:r>
      <w:r>
        <w:rPr>
          <w:rFonts w:ascii="Times New Roman" w:eastAsia="仿宋_GB2312" w:hAnsi="Times New Roman" w:cs="Times New Roman" w:hint="eastAsia"/>
          <w:sz w:val="32"/>
          <w:szCs w:val="32"/>
        </w:rPr>
        <w:t>2022</w:t>
      </w:r>
      <w:r>
        <w:rPr>
          <w:rFonts w:ascii="Times New Roman" w:eastAsia="仿宋_GB2312" w:hAnsi="Times New Roman" w:cs="Times New Roman"/>
          <w:sz w:val="32"/>
          <w:szCs w:val="32"/>
        </w:rPr>
        <w:t>年</w:t>
      </w:r>
      <w:r>
        <w:rPr>
          <w:rFonts w:ascii="Times New Roman" w:eastAsia="仿宋_GB2312" w:hAnsi="Times New Roman" w:cs="Times New Roman"/>
          <w:sz w:val="32"/>
          <w:szCs w:val="32"/>
        </w:rPr>
        <w:t>10</w:t>
      </w:r>
      <w:r>
        <w:rPr>
          <w:rFonts w:ascii="Times New Roman" w:eastAsia="仿宋_GB2312" w:hAnsi="Times New Roman" w:cs="Times New Roman"/>
          <w:sz w:val="32"/>
          <w:szCs w:val="32"/>
        </w:rPr>
        <w:t>月底，江苏法院共受理各类不正当竞争纠纷</w:t>
      </w:r>
      <w:r>
        <w:rPr>
          <w:rFonts w:ascii="Times New Roman" w:eastAsia="仿宋_GB2312" w:hAnsi="Times New Roman" w:cs="Times New Roman"/>
          <w:sz w:val="32"/>
          <w:szCs w:val="32"/>
        </w:rPr>
        <w:t>3068</w:t>
      </w:r>
      <w:r>
        <w:rPr>
          <w:rFonts w:ascii="Times New Roman" w:eastAsia="仿宋_GB2312" w:hAnsi="Times New Roman" w:cs="Times New Roman"/>
          <w:sz w:val="32"/>
          <w:szCs w:val="32"/>
        </w:rPr>
        <w:t>件，年均增长</w:t>
      </w:r>
      <w:r>
        <w:rPr>
          <w:rFonts w:ascii="Times New Roman" w:eastAsia="仿宋_GB2312" w:hAnsi="Times New Roman" w:cs="Times New Roman"/>
          <w:sz w:val="32"/>
          <w:szCs w:val="32"/>
        </w:rPr>
        <w:t>23.02%</w:t>
      </w:r>
      <w:r>
        <w:rPr>
          <w:rFonts w:ascii="Times New Roman" w:eastAsia="仿宋_GB2312" w:hAnsi="Times New Roman" w:cs="Times New Roman"/>
          <w:sz w:val="32"/>
          <w:szCs w:val="32"/>
        </w:rPr>
        <w:t>，审结</w:t>
      </w:r>
      <w:r>
        <w:rPr>
          <w:rFonts w:ascii="Times New Roman" w:eastAsia="仿宋_GB2312" w:hAnsi="Times New Roman" w:cs="Times New Roman"/>
          <w:sz w:val="32"/>
          <w:szCs w:val="32"/>
        </w:rPr>
        <w:t>2107</w:t>
      </w:r>
      <w:r>
        <w:rPr>
          <w:rFonts w:ascii="Times New Roman" w:eastAsia="仿宋_GB2312" w:hAnsi="Times New Roman" w:cs="Times New Roman"/>
          <w:sz w:val="32"/>
          <w:szCs w:val="32"/>
        </w:rPr>
        <w:t>件，年均增长</w:t>
      </w:r>
      <w:r>
        <w:rPr>
          <w:rFonts w:ascii="Times New Roman" w:eastAsia="仿宋_GB2312" w:hAnsi="Times New Roman" w:cs="Times New Roman"/>
          <w:sz w:val="32"/>
          <w:szCs w:val="32"/>
        </w:rPr>
        <w:t>25.24%</w:t>
      </w:r>
      <w:r>
        <w:rPr>
          <w:rFonts w:ascii="Times New Roman" w:eastAsia="仿宋_GB2312" w:hAnsi="Times New Roman" w:cs="Times New Roman" w:hint="eastAsia"/>
          <w:sz w:val="32"/>
          <w:szCs w:val="32"/>
        </w:rPr>
        <w:t>;</w:t>
      </w:r>
      <w:r>
        <w:rPr>
          <w:rFonts w:ascii="Times New Roman" w:eastAsia="仿宋_GB2312" w:hAnsi="Times New Roman" w:cs="Times New Roman"/>
          <w:sz w:val="32"/>
          <w:szCs w:val="32"/>
        </w:rPr>
        <w:t>受理垄断纠纷</w:t>
      </w:r>
      <w:r>
        <w:rPr>
          <w:rFonts w:ascii="Times New Roman" w:eastAsia="仿宋_GB2312" w:hAnsi="Times New Roman" w:cs="Times New Roman"/>
          <w:sz w:val="32"/>
          <w:szCs w:val="32"/>
        </w:rPr>
        <w:t>13</w:t>
      </w:r>
      <w:r>
        <w:rPr>
          <w:rFonts w:ascii="Times New Roman" w:eastAsia="仿宋_GB2312" w:hAnsi="Times New Roman" w:cs="Times New Roman"/>
          <w:sz w:val="32"/>
          <w:szCs w:val="32"/>
        </w:rPr>
        <w:t>件，审结</w:t>
      </w:r>
      <w:r>
        <w:rPr>
          <w:rFonts w:ascii="Times New Roman" w:eastAsia="仿宋_GB2312" w:hAnsi="Times New Roman" w:cs="Times New Roman"/>
          <w:sz w:val="32"/>
          <w:szCs w:val="32"/>
        </w:rPr>
        <w:t>5</w:t>
      </w:r>
      <w:r>
        <w:rPr>
          <w:rFonts w:ascii="Times New Roman" w:eastAsia="仿宋_GB2312" w:hAnsi="Times New Roman" w:cs="Times New Roman"/>
          <w:sz w:val="32"/>
          <w:szCs w:val="32"/>
        </w:rPr>
        <w:t>件。</w:t>
      </w:r>
    </w:p>
    <w:p w:rsidR="00F36605" w:rsidRDefault="000F7A56">
      <w:pPr>
        <w:spacing w:line="336" w:lineRule="auto"/>
        <w:jc w:val="center"/>
        <w:rPr>
          <w:rFonts w:ascii="Times New Roman" w:eastAsia="仿宋_GB2312" w:hAnsi="Times New Roman" w:cs="Times New Roman"/>
          <w:sz w:val="32"/>
          <w:szCs w:val="32"/>
        </w:rPr>
      </w:pPr>
      <w:r>
        <w:rPr>
          <w:rFonts w:ascii="Times New Roman" w:eastAsia="仿宋_GB2312" w:hAnsi="Times New Roman" w:cs="Times New Roman"/>
          <w:noProof/>
          <w:sz w:val="32"/>
          <w:szCs w:val="32"/>
        </w:rPr>
        <w:lastRenderedPageBreak/>
        <w:drawing>
          <wp:inline distT="0" distB="0" distL="0" distR="0">
            <wp:extent cx="5486400" cy="3021330"/>
            <wp:effectExtent l="19050" t="0" r="19050" b="7620"/>
            <wp:docPr id="3"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7"/>
              </a:graphicData>
            </a:graphic>
          </wp:inline>
        </w:drawing>
      </w:r>
    </w:p>
    <w:p w:rsidR="00F36605" w:rsidRDefault="000F7A56">
      <w:pPr>
        <w:spacing w:line="336" w:lineRule="auto"/>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图表</w:t>
      </w:r>
      <w:r>
        <w:rPr>
          <w:rFonts w:ascii="Times New Roman" w:eastAsia="仿宋_GB2312" w:hAnsi="Times New Roman" w:cs="Times New Roman"/>
          <w:sz w:val="24"/>
          <w:szCs w:val="24"/>
        </w:rPr>
        <w:t>1:20</w:t>
      </w:r>
      <w:r>
        <w:rPr>
          <w:rFonts w:ascii="Times New Roman" w:eastAsia="仿宋_GB2312" w:hAnsi="Times New Roman" w:cs="Times New Roman" w:hint="eastAsia"/>
          <w:sz w:val="24"/>
          <w:szCs w:val="24"/>
        </w:rPr>
        <w:t>19</w:t>
      </w:r>
      <w:r>
        <w:rPr>
          <w:rFonts w:ascii="Times New Roman" w:eastAsia="仿宋_GB2312" w:hAnsi="Times New Roman" w:cs="Times New Roman"/>
          <w:sz w:val="24"/>
          <w:szCs w:val="24"/>
        </w:rPr>
        <w:t>年</w:t>
      </w:r>
      <w:r>
        <w:rPr>
          <w:rFonts w:ascii="Times New Roman" w:eastAsia="仿宋_GB2312" w:hAnsi="Times New Roman" w:cs="Times New Roman" w:hint="eastAsia"/>
          <w:sz w:val="24"/>
          <w:szCs w:val="24"/>
        </w:rPr>
        <w:t>至</w:t>
      </w:r>
      <w:r>
        <w:rPr>
          <w:rFonts w:ascii="Times New Roman" w:eastAsia="仿宋_GB2312" w:hAnsi="Times New Roman" w:cs="Times New Roman" w:hint="eastAsia"/>
          <w:sz w:val="24"/>
          <w:szCs w:val="24"/>
        </w:rPr>
        <w:t>2022</w:t>
      </w:r>
      <w:r>
        <w:rPr>
          <w:rFonts w:ascii="Times New Roman" w:eastAsia="仿宋_GB2312" w:hAnsi="Times New Roman" w:cs="Times New Roman" w:hint="eastAsia"/>
          <w:sz w:val="24"/>
          <w:szCs w:val="24"/>
        </w:rPr>
        <w:t>年</w:t>
      </w:r>
      <w:r>
        <w:rPr>
          <w:rFonts w:ascii="Times New Roman" w:eastAsia="仿宋_GB2312" w:hAnsi="Times New Roman" w:cs="Times New Roman" w:hint="eastAsia"/>
          <w:sz w:val="24"/>
          <w:szCs w:val="24"/>
        </w:rPr>
        <w:t>10</w:t>
      </w:r>
      <w:r>
        <w:rPr>
          <w:rFonts w:ascii="Times New Roman" w:eastAsia="仿宋_GB2312" w:hAnsi="Times New Roman" w:cs="Times New Roman" w:hint="eastAsia"/>
          <w:sz w:val="24"/>
          <w:szCs w:val="24"/>
        </w:rPr>
        <w:t>月底</w:t>
      </w:r>
      <w:r>
        <w:rPr>
          <w:rFonts w:ascii="Times New Roman" w:eastAsia="仿宋_GB2312" w:hAnsi="Times New Roman" w:cs="Times New Roman"/>
          <w:sz w:val="24"/>
          <w:szCs w:val="24"/>
        </w:rPr>
        <w:t>江苏法院垄断及不正当竞争纠纷案件年度收结案情况</w:t>
      </w:r>
    </w:p>
    <w:p w:rsidR="00F36605" w:rsidRDefault="00F36605">
      <w:pPr>
        <w:spacing w:line="336" w:lineRule="auto"/>
        <w:ind w:firstLineChars="200" w:firstLine="640"/>
        <w:rPr>
          <w:rFonts w:ascii="Times New Roman" w:eastAsia="仿宋_GB2312" w:hAnsi="Times New Roman" w:cs="Times New Roman"/>
          <w:sz w:val="32"/>
          <w:szCs w:val="32"/>
        </w:rPr>
      </w:pPr>
    </w:p>
    <w:p w:rsidR="00F36605" w:rsidRDefault="000F7A56">
      <w:pPr>
        <w:spacing w:line="336" w:lineRule="auto"/>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案件呈现以下特点：</w:t>
      </w:r>
    </w:p>
    <w:p w:rsidR="00F36605" w:rsidRDefault="000F7A56">
      <w:pPr>
        <w:spacing w:line="336" w:lineRule="auto"/>
        <w:ind w:firstLineChars="200" w:firstLine="640"/>
        <w:rPr>
          <w:rFonts w:ascii="Times New Roman" w:eastAsia="仿宋_GB2312" w:hAnsi="Times New Roman" w:cs="Times New Roman"/>
          <w:sz w:val="32"/>
          <w:szCs w:val="32"/>
        </w:rPr>
      </w:pPr>
      <w:r>
        <w:rPr>
          <w:rFonts w:ascii="Times New Roman" w:eastAsia="楷体" w:hAnsi="Times New Roman" w:cs="Times New Roman"/>
          <w:bCs/>
          <w:sz w:val="32"/>
          <w:szCs w:val="32"/>
        </w:rPr>
        <w:t>1.</w:t>
      </w:r>
      <w:r>
        <w:rPr>
          <w:rFonts w:ascii="Times New Roman" w:eastAsia="楷体" w:hAnsi="Times New Roman" w:cs="Times New Roman"/>
          <w:bCs/>
          <w:sz w:val="32"/>
          <w:szCs w:val="32"/>
        </w:rPr>
        <w:t>从案件类型来看，仿冒纠纷、侵害商业秘密纠纷占绝对比例。</w:t>
      </w:r>
      <w:r>
        <w:rPr>
          <w:rFonts w:ascii="Times New Roman" w:eastAsia="仿宋_GB2312" w:hAnsi="Times New Roman" w:cs="Times New Roman"/>
          <w:sz w:val="32"/>
          <w:szCs w:val="32"/>
        </w:rPr>
        <w:t>以</w:t>
      </w:r>
      <w:r>
        <w:rPr>
          <w:rFonts w:ascii="Times New Roman" w:eastAsia="仿宋_GB2312" w:hAnsi="Times New Roman" w:cs="Times New Roman"/>
          <w:sz w:val="32"/>
          <w:szCs w:val="32"/>
        </w:rPr>
        <w:t>2021</w:t>
      </w:r>
      <w:r>
        <w:rPr>
          <w:rFonts w:ascii="Times New Roman" w:eastAsia="仿宋_GB2312" w:hAnsi="Times New Roman" w:cs="Times New Roman"/>
          <w:sz w:val="32"/>
          <w:szCs w:val="32"/>
        </w:rPr>
        <w:t>年为例，全省法院新收的</w:t>
      </w:r>
      <w:r>
        <w:rPr>
          <w:rFonts w:ascii="Times New Roman" w:eastAsia="仿宋_GB2312" w:hAnsi="Times New Roman" w:cs="Times New Roman"/>
          <w:sz w:val="32"/>
          <w:szCs w:val="32"/>
        </w:rPr>
        <w:t>557</w:t>
      </w:r>
      <w:r>
        <w:rPr>
          <w:rFonts w:ascii="Times New Roman" w:eastAsia="仿宋_GB2312" w:hAnsi="Times New Roman" w:cs="Times New Roman"/>
          <w:sz w:val="32"/>
          <w:szCs w:val="32"/>
        </w:rPr>
        <w:t>件一审不正当竞争纠纷中，</w:t>
      </w:r>
      <w:r>
        <w:rPr>
          <w:rFonts w:ascii="Times New Roman" w:eastAsia="仿宋_GB2312" w:hAnsi="Times New Roman" w:cs="Times New Roman" w:hint="eastAsia"/>
          <w:sz w:val="32"/>
          <w:szCs w:val="32"/>
        </w:rPr>
        <w:t>这两类</w:t>
      </w:r>
      <w:r>
        <w:rPr>
          <w:rFonts w:ascii="Times New Roman" w:eastAsia="仿宋_GB2312" w:hAnsi="Times New Roman" w:cs="Times New Roman"/>
          <w:sz w:val="32"/>
          <w:szCs w:val="32"/>
        </w:rPr>
        <w:t>纠纷占</w:t>
      </w:r>
      <w:r>
        <w:rPr>
          <w:rFonts w:ascii="Times New Roman" w:eastAsia="仿宋_GB2312" w:hAnsi="Times New Roman" w:cs="Times New Roman"/>
          <w:sz w:val="32"/>
          <w:szCs w:val="32"/>
        </w:rPr>
        <w:t>84%</w:t>
      </w:r>
      <w:r>
        <w:rPr>
          <w:rFonts w:ascii="Times New Roman" w:eastAsia="仿宋_GB2312" w:hAnsi="Times New Roman" w:cs="Times New Roman"/>
          <w:sz w:val="32"/>
          <w:szCs w:val="32"/>
        </w:rPr>
        <w:t>。其中，仿冒纠纷</w:t>
      </w:r>
      <w:r>
        <w:rPr>
          <w:rFonts w:ascii="Times New Roman" w:eastAsia="仿宋_GB2312" w:hAnsi="Times New Roman" w:cs="Times New Roman"/>
          <w:sz w:val="32"/>
          <w:szCs w:val="32"/>
        </w:rPr>
        <w:t>375</w:t>
      </w:r>
      <w:r>
        <w:rPr>
          <w:rFonts w:ascii="Times New Roman" w:eastAsia="仿宋_GB2312" w:hAnsi="Times New Roman" w:cs="Times New Roman"/>
          <w:sz w:val="32"/>
          <w:szCs w:val="32"/>
        </w:rPr>
        <w:t>件，占</w:t>
      </w:r>
      <w:r>
        <w:rPr>
          <w:rFonts w:ascii="Times New Roman" w:eastAsia="仿宋_GB2312" w:hAnsi="Times New Roman" w:cs="Times New Roman"/>
          <w:sz w:val="32"/>
          <w:szCs w:val="32"/>
        </w:rPr>
        <w:t>66%</w:t>
      </w:r>
      <w:r>
        <w:rPr>
          <w:rFonts w:ascii="Times New Roman" w:eastAsia="仿宋_GB2312" w:hAnsi="Times New Roman" w:cs="Times New Roman"/>
          <w:sz w:val="32"/>
          <w:szCs w:val="32"/>
        </w:rPr>
        <w:t>，侵害商业秘密纠纷</w:t>
      </w:r>
      <w:r>
        <w:rPr>
          <w:rFonts w:ascii="Times New Roman" w:eastAsia="仿宋_GB2312" w:hAnsi="Times New Roman" w:cs="Times New Roman"/>
          <w:sz w:val="32"/>
          <w:szCs w:val="32"/>
        </w:rPr>
        <w:t>105</w:t>
      </w:r>
      <w:r>
        <w:rPr>
          <w:rFonts w:ascii="Times New Roman" w:eastAsia="仿宋_GB2312" w:hAnsi="Times New Roman" w:cs="Times New Roman"/>
          <w:sz w:val="32"/>
          <w:szCs w:val="32"/>
        </w:rPr>
        <w:t>件，占</w:t>
      </w:r>
      <w:r>
        <w:rPr>
          <w:rFonts w:ascii="Times New Roman" w:eastAsia="仿宋_GB2312" w:hAnsi="Times New Roman" w:cs="Times New Roman"/>
          <w:sz w:val="32"/>
          <w:szCs w:val="32"/>
        </w:rPr>
        <w:t>18%</w:t>
      </w:r>
      <w:r>
        <w:rPr>
          <w:rFonts w:ascii="Times New Roman" w:eastAsia="仿宋_GB2312" w:hAnsi="Times New Roman" w:cs="Times New Roman"/>
          <w:sz w:val="32"/>
          <w:szCs w:val="32"/>
        </w:rPr>
        <w:t>。同时，</w:t>
      </w:r>
      <w:r>
        <w:rPr>
          <w:rFonts w:ascii="Times New Roman" w:eastAsia="仿宋_GB2312" w:hAnsi="Times New Roman" w:cs="Times New Roman"/>
          <w:bCs/>
          <w:sz w:val="32"/>
          <w:szCs w:val="32"/>
        </w:rPr>
        <w:t>不正当竞争与商标侵权混合侵权纠纷</w:t>
      </w:r>
      <w:proofErr w:type="gramStart"/>
      <w:r>
        <w:rPr>
          <w:rFonts w:ascii="Times New Roman" w:eastAsia="仿宋_GB2312" w:hAnsi="Times New Roman" w:cs="Times New Roman"/>
          <w:bCs/>
          <w:sz w:val="32"/>
          <w:szCs w:val="32"/>
        </w:rPr>
        <w:t>占比较</w:t>
      </w:r>
      <w:proofErr w:type="gramEnd"/>
      <w:r>
        <w:rPr>
          <w:rFonts w:ascii="Times New Roman" w:eastAsia="仿宋_GB2312" w:hAnsi="Times New Roman" w:cs="Times New Roman"/>
          <w:bCs/>
          <w:sz w:val="32"/>
          <w:szCs w:val="32"/>
        </w:rPr>
        <w:t>大。</w:t>
      </w:r>
      <w:r>
        <w:rPr>
          <w:rFonts w:ascii="Times New Roman" w:eastAsia="仿宋_GB2312" w:hAnsi="Times New Roman" w:cs="Times New Roman"/>
          <w:sz w:val="32"/>
          <w:szCs w:val="32"/>
        </w:rPr>
        <w:t>2019-2021</w:t>
      </w:r>
      <w:r>
        <w:rPr>
          <w:rFonts w:ascii="Times New Roman" w:eastAsia="仿宋_GB2312" w:hAnsi="Times New Roman" w:cs="Times New Roman"/>
          <w:sz w:val="32"/>
          <w:szCs w:val="32"/>
        </w:rPr>
        <w:t>年审结的一审不正当竞争纠纷案中，有</w:t>
      </w:r>
      <w:r>
        <w:rPr>
          <w:rFonts w:ascii="Times New Roman" w:eastAsia="仿宋_GB2312" w:hAnsi="Times New Roman" w:cs="Times New Roman"/>
          <w:sz w:val="32"/>
          <w:szCs w:val="32"/>
        </w:rPr>
        <w:t>459</w:t>
      </w:r>
      <w:r>
        <w:rPr>
          <w:rFonts w:ascii="Times New Roman" w:eastAsia="仿宋_GB2312" w:hAnsi="Times New Roman" w:cs="Times New Roman"/>
          <w:sz w:val="32"/>
          <w:szCs w:val="32"/>
        </w:rPr>
        <w:t>件涉及其他案由，占结案数的</w:t>
      </w:r>
      <w:r>
        <w:rPr>
          <w:rFonts w:ascii="Times New Roman" w:eastAsia="仿宋_GB2312" w:hAnsi="Times New Roman" w:cs="Times New Roman"/>
          <w:sz w:val="32"/>
          <w:szCs w:val="32"/>
        </w:rPr>
        <w:t>31.44%</w:t>
      </w:r>
      <w:r>
        <w:rPr>
          <w:rFonts w:ascii="Times New Roman" w:eastAsia="仿宋_GB2312" w:hAnsi="Times New Roman" w:cs="Times New Roman"/>
          <w:sz w:val="32"/>
          <w:szCs w:val="32"/>
        </w:rPr>
        <w:t>，其中侵害商标权及不正当竞争纠纷</w:t>
      </w:r>
      <w:r>
        <w:rPr>
          <w:rFonts w:ascii="Times New Roman" w:eastAsia="仿宋_GB2312" w:hAnsi="Times New Roman" w:cs="Times New Roman"/>
          <w:sz w:val="32"/>
          <w:szCs w:val="32"/>
        </w:rPr>
        <w:t>413</w:t>
      </w:r>
      <w:r>
        <w:rPr>
          <w:rFonts w:ascii="Times New Roman" w:eastAsia="仿宋_GB2312" w:hAnsi="Times New Roman" w:cs="Times New Roman"/>
          <w:sz w:val="32"/>
          <w:szCs w:val="32"/>
        </w:rPr>
        <w:t>件。</w:t>
      </w:r>
    </w:p>
    <w:p w:rsidR="00F36605" w:rsidRDefault="000F7A56">
      <w:pPr>
        <w:spacing w:line="336" w:lineRule="auto"/>
        <w:jc w:val="center"/>
        <w:rPr>
          <w:rFonts w:ascii="Times New Roman" w:eastAsia="仿宋_GB2312" w:hAnsi="Times New Roman" w:cs="Times New Roman"/>
          <w:sz w:val="32"/>
          <w:szCs w:val="32"/>
        </w:rPr>
      </w:pPr>
      <w:r>
        <w:rPr>
          <w:rFonts w:ascii="Times New Roman" w:eastAsia="仿宋_GB2312" w:hAnsi="Times New Roman" w:cs="Times New Roman"/>
          <w:noProof/>
          <w:sz w:val="32"/>
          <w:szCs w:val="32"/>
        </w:rPr>
        <w:lastRenderedPageBreak/>
        <w:drawing>
          <wp:inline distT="0" distB="0" distL="0" distR="0">
            <wp:extent cx="5391150" cy="2762250"/>
            <wp:effectExtent l="19050" t="0" r="19050" b="0"/>
            <wp:docPr id="2"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8"/>
              </a:graphicData>
            </a:graphic>
          </wp:inline>
        </w:drawing>
      </w:r>
    </w:p>
    <w:p w:rsidR="00F36605" w:rsidRDefault="000F7A56">
      <w:pPr>
        <w:spacing w:line="336" w:lineRule="auto"/>
        <w:ind w:firstLineChars="200" w:firstLine="480"/>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图表</w:t>
      </w:r>
      <w:r>
        <w:rPr>
          <w:rFonts w:ascii="Times New Roman" w:eastAsia="仿宋_GB2312" w:hAnsi="Times New Roman" w:cs="Times New Roman"/>
          <w:sz w:val="24"/>
          <w:szCs w:val="24"/>
        </w:rPr>
        <w:t>2:2021</w:t>
      </w:r>
      <w:r>
        <w:rPr>
          <w:rFonts w:ascii="Times New Roman" w:eastAsia="仿宋_GB2312" w:hAnsi="Times New Roman" w:cs="Times New Roman"/>
          <w:sz w:val="24"/>
          <w:szCs w:val="24"/>
        </w:rPr>
        <w:t>年江苏法院不正当竞争纠纷新收一审案件案由分布情况</w:t>
      </w:r>
    </w:p>
    <w:p w:rsidR="00F36605" w:rsidRDefault="00F36605">
      <w:pPr>
        <w:spacing w:line="336" w:lineRule="auto"/>
        <w:ind w:firstLineChars="200" w:firstLine="643"/>
        <w:rPr>
          <w:rFonts w:ascii="Times New Roman" w:eastAsia="仿宋_GB2312" w:hAnsi="Times New Roman" w:cs="Times New Roman"/>
          <w:b/>
          <w:bCs/>
          <w:sz w:val="32"/>
          <w:szCs w:val="32"/>
        </w:rPr>
      </w:pPr>
    </w:p>
    <w:p w:rsidR="00F36605" w:rsidRDefault="000F7A56">
      <w:pPr>
        <w:spacing w:line="336" w:lineRule="auto"/>
        <w:ind w:firstLineChars="200" w:firstLine="640"/>
        <w:rPr>
          <w:rFonts w:ascii="Times New Roman" w:eastAsia="仿宋_GB2312" w:hAnsi="Times New Roman" w:cs="Times New Roman"/>
          <w:sz w:val="32"/>
          <w:szCs w:val="32"/>
        </w:rPr>
      </w:pPr>
      <w:r>
        <w:rPr>
          <w:rFonts w:ascii="Times New Roman" w:eastAsia="楷体" w:hAnsi="Times New Roman" w:cs="Times New Roman"/>
          <w:bCs/>
          <w:sz w:val="32"/>
          <w:szCs w:val="32"/>
        </w:rPr>
        <w:t>2.</w:t>
      </w:r>
      <w:r>
        <w:rPr>
          <w:rFonts w:ascii="Times New Roman" w:eastAsia="楷体" w:hAnsi="Times New Roman" w:cs="Times New Roman"/>
          <w:bCs/>
          <w:sz w:val="32"/>
          <w:szCs w:val="32"/>
        </w:rPr>
        <w:t>从地区分布来看，纠纷相对集中于苏州、南京、无锡、徐州四地。</w:t>
      </w:r>
      <w:r>
        <w:rPr>
          <w:rFonts w:ascii="Times New Roman" w:eastAsia="仿宋_GB2312" w:hAnsi="Times New Roman" w:cs="Times New Roman"/>
          <w:sz w:val="32"/>
          <w:szCs w:val="32"/>
        </w:rPr>
        <w:t>全省新收一审垄断及不正当竞争案件超</w:t>
      </w:r>
      <w:r>
        <w:rPr>
          <w:rFonts w:ascii="Times New Roman" w:eastAsia="仿宋_GB2312" w:hAnsi="Times New Roman" w:cs="Times New Roman" w:hint="eastAsia"/>
          <w:sz w:val="32"/>
          <w:szCs w:val="32"/>
        </w:rPr>
        <w:t>七成</w:t>
      </w:r>
      <w:r>
        <w:rPr>
          <w:rFonts w:ascii="Times New Roman" w:eastAsia="仿宋_GB2312" w:hAnsi="Times New Roman" w:cs="Times New Roman"/>
          <w:sz w:val="32"/>
          <w:szCs w:val="32"/>
        </w:rPr>
        <w:t>发生在上述地区。</w:t>
      </w:r>
    </w:p>
    <w:p w:rsidR="00F36605" w:rsidRDefault="000F7A56">
      <w:pPr>
        <w:spacing w:line="336" w:lineRule="auto"/>
        <w:jc w:val="center"/>
        <w:rPr>
          <w:rFonts w:ascii="Times New Roman" w:eastAsia="仿宋_GB2312" w:hAnsi="Times New Roman" w:cs="Times New Roman"/>
          <w:sz w:val="32"/>
          <w:szCs w:val="32"/>
        </w:rPr>
      </w:pPr>
      <w:r>
        <w:rPr>
          <w:rFonts w:ascii="Times New Roman" w:eastAsia="仿宋_GB2312" w:hAnsi="Times New Roman" w:cs="Times New Roman"/>
          <w:noProof/>
          <w:sz w:val="32"/>
          <w:szCs w:val="32"/>
        </w:rPr>
        <w:drawing>
          <wp:inline distT="0" distB="0" distL="0" distR="0">
            <wp:extent cx="5305425" cy="2838450"/>
            <wp:effectExtent l="19050" t="0" r="9525" b="0"/>
            <wp:docPr id="4"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inline>
        </w:drawing>
      </w:r>
    </w:p>
    <w:p w:rsidR="00F36605" w:rsidRDefault="000F7A56">
      <w:pPr>
        <w:spacing w:line="336" w:lineRule="auto"/>
        <w:jc w:val="left"/>
        <w:rPr>
          <w:rFonts w:ascii="Times New Roman" w:eastAsia="仿宋_GB2312" w:hAnsi="Times New Roman" w:cs="Times New Roman"/>
          <w:sz w:val="24"/>
          <w:szCs w:val="24"/>
        </w:rPr>
      </w:pPr>
      <w:r>
        <w:rPr>
          <w:rFonts w:ascii="Times New Roman" w:eastAsia="仿宋_GB2312" w:hAnsi="Times New Roman" w:cs="Times New Roman"/>
          <w:sz w:val="24"/>
          <w:szCs w:val="24"/>
        </w:rPr>
        <w:t>图表</w:t>
      </w:r>
      <w:r>
        <w:rPr>
          <w:rFonts w:ascii="Times New Roman" w:eastAsia="仿宋_GB2312" w:hAnsi="Times New Roman" w:cs="Times New Roman"/>
          <w:sz w:val="24"/>
          <w:szCs w:val="24"/>
        </w:rPr>
        <w:t>3:20</w:t>
      </w:r>
      <w:r>
        <w:rPr>
          <w:rFonts w:ascii="Times New Roman" w:eastAsia="仿宋_GB2312" w:hAnsi="Times New Roman" w:cs="Times New Roman" w:hint="eastAsia"/>
          <w:sz w:val="24"/>
          <w:szCs w:val="24"/>
        </w:rPr>
        <w:t>19</w:t>
      </w:r>
      <w:r>
        <w:rPr>
          <w:rFonts w:ascii="Times New Roman" w:eastAsia="仿宋_GB2312" w:hAnsi="Times New Roman" w:cs="Times New Roman"/>
          <w:sz w:val="24"/>
          <w:szCs w:val="24"/>
        </w:rPr>
        <w:t>年</w:t>
      </w:r>
      <w:r>
        <w:rPr>
          <w:rFonts w:ascii="Times New Roman" w:eastAsia="仿宋_GB2312" w:hAnsi="Times New Roman" w:cs="Times New Roman" w:hint="eastAsia"/>
          <w:sz w:val="24"/>
          <w:szCs w:val="24"/>
        </w:rPr>
        <w:t>至</w:t>
      </w:r>
      <w:r>
        <w:rPr>
          <w:rFonts w:ascii="Times New Roman" w:eastAsia="仿宋_GB2312" w:hAnsi="Times New Roman" w:cs="Times New Roman" w:hint="eastAsia"/>
          <w:sz w:val="24"/>
          <w:szCs w:val="24"/>
        </w:rPr>
        <w:t>2022</w:t>
      </w:r>
      <w:r>
        <w:rPr>
          <w:rFonts w:ascii="Times New Roman" w:eastAsia="仿宋_GB2312" w:hAnsi="Times New Roman" w:cs="Times New Roman" w:hint="eastAsia"/>
          <w:sz w:val="24"/>
          <w:szCs w:val="24"/>
        </w:rPr>
        <w:t>年</w:t>
      </w:r>
      <w:r>
        <w:rPr>
          <w:rFonts w:ascii="Times New Roman" w:eastAsia="仿宋_GB2312" w:hAnsi="Times New Roman" w:cs="Times New Roman" w:hint="eastAsia"/>
          <w:sz w:val="24"/>
          <w:szCs w:val="24"/>
        </w:rPr>
        <w:t>10</w:t>
      </w:r>
      <w:r>
        <w:rPr>
          <w:rFonts w:ascii="Times New Roman" w:eastAsia="仿宋_GB2312" w:hAnsi="Times New Roman" w:cs="Times New Roman" w:hint="eastAsia"/>
          <w:sz w:val="24"/>
          <w:szCs w:val="24"/>
        </w:rPr>
        <w:t>月底</w:t>
      </w:r>
      <w:r>
        <w:rPr>
          <w:rFonts w:ascii="Times New Roman" w:eastAsia="仿宋_GB2312" w:hAnsi="Times New Roman" w:cs="Times New Roman"/>
          <w:sz w:val="24"/>
          <w:szCs w:val="24"/>
        </w:rPr>
        <w:t>江苏法院新收垄断及不正当竞争纠纷一审案件地区分布情况</w:t>
      </w:r>
    </w:p>
    <w:p w:rsidR="00F36605" w:rsidRDefault="00F36605">
      <w:pPr>
        <w:spacing w:line="336" w:lineRule="auto"/>
        <w:ind w:firstLineChars="200" w:firstLine="643"/>
        <w:rPr>
          <w:rFonts w:ascii="Times New Roman" w:eastAsia="仿宋_GB2312" w:hAnsi="Times New Roman" w:cs="Times New Roman"/>
          <w:b/>
          <w:bCs/>
          <w:sz w:val="32"/>
          <w:szCs w:val="32"/>
        </w:rPr>
      </w:pPr>
    </w:p>
    <w:p w:rsidR="00F36605" w:rsidRDefault="000F7A56">
      <w:pPr>
        <w:spacing w:line="336" w:lineRule="auto"/>
        <w:ind w:firstLineChars="200" w:firstLine="640"/>
        <w:rPr>
          <w:rFonts w:ascii="Times New Roman" w:eastAsia="楷体" w:hAnsi="Times New Roman" w:cs="Times New Roman"/>
          <w:bCs/>
          <w:sz w:val="32"/>
          <w:szCs w:val="32"/>
        </w:rPr>
      </w:pPr>
      <w:r>
        <w:rPr>
          <w:rFonts w:ascii="Times New Roman" w:eastAsia="楷体" w:hAnsi="Times New Roman" w:cs="Times New Roman"/>
          <w:bCs/>
          <w:sz w:val="32"/>
          <w:szCs w:val="32"/>
        </w:rPr>
        <w:t>3.</w:t>
      </w:r>
      <w:r w:rsidR="00036E12" w:rsidRPr="00036E12">
        <w:rPr>
          <w:rFonts w:ascii="Times New Roman" w:eastAsia="楷体" w:hAnsi="Times New Roman" w:cs="Times New Roman"/>
          <w:bCs/>
          <w:sz w:val="32"/>
          <w:szCs w:val="32"/>
        </w:rPr>
        <w:t xml:space="preserve"> </w:t>
      </w:r>
      <w:proofErr w:type="gramStart"/>
      <w:r w:rsidR="00036E12">
        <w:rPr>
          <w:rFonts w:ascii="Times New Roman" w:eastAsia="楷体" w:hAnsi="Times New Roman" w:cs="Times New Roman"/>
          <w:bCs/>
          <w:sz w:val="32"/>
          <w:szCs w:val="32"/>
        </w:rPr>
        <w:t>从</w:t>
      </w:r>
      <w:r w:rsidR="00036E12">
        <w:rPr>
          <w:rFonts w:ascii="Times New Roman" w:eastAsia="楷体" w:hAnsi="Times New Roman" w:cs="Times New Roman" w:hint="eastAsia"/>
          <w:bCs/>
          <w:sz w:val="32"/>
          <w:szCs w:val="32"/>
        </w:rPr>
        <w:t>判赔情况</w:t>
      </w:r>
      <w:proofErr w:type="gramEnd"/>
      <w:r w:rsidR="00036E12">
        <w:rPr>
          <w:rFonts w:ascii="Times New Roman" w:eastAsia="楷体" w:hAnsi="Times New Roman" w:cs="Times New Roman"/>
          <w:bCs/>
          <w:sz w:val="32"/>
          <w:szCs w:val="32"/>
        </w:rPr>
        <w:t>来看，数额不断上升。</w:t>
      </w:r>
      <w:r>
        <w:rPr>
          <w:rFonts w:ascii="Times New Roman" w:eastAsia="仿宋_GB2312" w:hAnsi="Times New Roman" w:cs="Times New Roman"/>
          <w:sz w:val="32"/>
          <w:szCs w:val="32"/>
        </w:rPr>
        <w:t>与江苏法院实行最严格知识产权司法保护工作相关，近年来新收不正当竞争纠纷中，原告诉请标的额较以往有显著上升。</w:t>
      </w:r>
      <w:r>
        <w:rPr>
          <w:rFonts w:ascii="Times New Roman" w:eastAsia="仿宋_GB2312" w:hAnsi="Times New Roman" w:cs="Times New Roman" w:hint="eastAsia"/>
          <w:sz w:val="32"/>
          <w:szCs w:val="32"/>
        </w:rPr>
        <w:t>2019</w:t>
      </w:r>
      <w:r>
        <w:rPr>
          <w:rFonts w:ascii="Times New Roman" w:eastAsia="仿宋_GB2312" w:hAnsi="Times New Roman" w:cs="Times New Roman" w:hint="eastAsia"/>
          <w:sz w:val="32"/>
          <w:szCs w:val="32"/>
        </w:rPr>
        <w:t>年至</w:t>
      </w:r>
      <w:r>
        <w:rPr>
          <w:rFonts w:ascii="Times New Roman" w:eastAsia="仿宋_GB2312" w:hAnsi="Times New Roman" w:cs="Times New Roman" w:hint="eastAsia"/>
          <w:sz w:val="32"/>
          <w:szCs w:val="32"/>
        </w:rPr>
        <w:t>2022</w:t>
      </w:r>
      <w:r>
        <w:rPr>
          <w:rFonts w:ascii="Times New Roman" w:eastAsia="仿宋_GB2312" w:hAnsi="Times New Roman" w:cs="Times New Roman" w:hint="eastAsia"/>
          <w:sz w:val="32"/>
          <w:szCs w:val="32"/>
        </w:rPr>
        <w:t>年</w:t>
      </w:r>
      <w:r>
        <w:rPr>
          <w:rFonts w:ascii="Times New Roman" w:eastAsia="仿宋_GB2312" w:hAnsi="Times New Roman" w:cs="Times New Roman" w:hint="eastAsia"/>
          <w:sz w:val="32"/>
          <w:szCs w:val="32"/>
        </w:rPr>
        <w:t>10</w:t>
      </w:r>
      <w:r>
        <w:rPr>
          <w:rFonts w:ascii="Times New Roman" w:eastAsia="仿宋_GB2312" w:hAnsi="Times New Roman" w:cs="Times New Roman" w:hint="eastAsia"/>
          <w:sz w:val="32"/>
          <w:szCs w:val="32"/>
        </w:rPr>
        <w:t>月底，新收案件</w:t>
      </w:r>
      <w:r>
        <w:rPr>
          <w:rFonts w:ascii="Times New Roman" w:eastAsia="仿宋_GB2312" w:hAnsi="Times New Roman" w:cs="Times New Roman"/>
          <w:sz w:val="32"/>
          <w:szCs w:val="32"/>
        </w:rPr>
        <w:t>标的额在</w:t>
      </w:r>
      <w:r>
        <w:rPr>
          <w:rFonts w:ascii="Times New Roman" w:eastAsia="仿宋_GB2312" w:hAnsi="Times New Roman" w:cs="Times New Roman"/>
          <w:sz w:val="32"/>
          <w:szCs w:val="32"/>
        </w:rPr>
        <w:t>100</w:t>
      </w:r>
      <w:r>
        <w:rPr>
          <w:rFonts w:ascii="Times New Roman" w:eastAsia="仿宋_GB2312" w:hAnsi="Times New Roman" w:cs="Times New Roman"/>
          <w:sz w:val="32"/>
          <w:szCs w:val="32"/>
        </w:rPr>
        <w:t>万元至</w:t>
      </w:r>
      <w:r>
        <w:rPr>
          <w:rFonts w:ascii="Times New Roman" w:eastAsia="仿宋_GB2312" w:hAnsi="Times New Roman" w:cs="Times New Roman"/>
          <w:sz w:val="32"/>
          <w:szCs w:val="32"/>
        </w:rPr>
        <w:t>500</w:t>
      </w:r>
      <w:r>
        <w:rPr>
          <w:rFonts w:ascii="Times New Roman" w:eastAsia="仿宋_GB2312" w:hAnsi="Times New Roman" w:cs="Times New Roman"/>
          <w:sz w:val="32"/>
          <w:szCs w:val="32"/>
        </w:rPr>
        <w:t>万元的有</w:t>
      </w:r>
      <w:r>
        <w:rPr>
          <w:rFonts w:ascii="Times New Roman" w:eastAsia="仿宋_GB2312" w:hAnsi="Times New Roman" w:cs="Times New Roman" w:hint="eastAsia"/>
          <w:sz w:val="32"/>
          <w:szCs w:val="32"/>
        </w:rPr>
        <w:t>433</w:t>
      </w:r>
      <w:r>
        <w:rPr>
          <w:rFonts w:ascii="Times New Roman" w:eastAsia="仿宋_GB2312" w:hAnsi="Times New Roman" w:cs="Times New Roman"/>
          <w:sz w:val="32"/>
          <w:szCs w:val="32"/>
        </w:rPr>
        <w:t>件，</w:t>
      </w:r>
      <w:r>
        <w:rPr>
          <w:rFonts w:ascii="Times New Roman" w:eastAsia="仿宋_GB2312" w:hAnsi="Times New Roman" w:cs="Times New Roman"/>
          <w:sz w:val="32"/>
          <w:szCs w:val="32"/>
        </w:rPr>
        <w:t>500</w:t>
      </w:r>
      <w:r>
        <w:rPr>
          <w:rFonts w:ascii="Times New Roman" w:eastAsia="仿宋_GB2312" w:hAnsi="Times New Roman" w:cs="Times New Roman"/>
          <w:sz w:val="32"/>
          <w:szCs w:val="32"/>
        </w:rPr>
        <w:t>万元以上的有</w:t>
      </w:r>
      <w:r>
        <w:rPr>
          <w:rFonts w:ascii="Times New Roman" w:eastAsia="仿宋_GB2312" w:hAnsi="Times New Roman" w:cs="Times New Roman" w:hint="eastAsia"/>
          <w:sz w:val="32"/>
          <w:szCs w:val="32"/>
        </w:rPr>
        <w:t>144</w:t>
      </w:r>
      <w:r>
        <w:rPr>
          <w:rFonts w:ascii="Times New Roman" w:eastAsia="仿宋_GB2312" w:hAnsi="Times New Roman" w:cs="Times New Roman"/>
          <w:sz w:val="32"/>
          <w:szCs w:val="32"/>
        </w:rPr>
        <w:t>件。其中，标的额</w:t>
      </w:r>
      <w:r>
        <w:rPr>
          <w:rFonts w:ascii="Times New Roman" w:eastAsia="仿宋_GB2312" w:hAnsi="Times New Roman" w:cs="Times New Roman"/>
          <w:sz w:val="32"/>
          <w:szCs w:val="32"/>
        </w:rPr>
        <w:t>1000</w:t>
      </w:r>
      <w:r>
        <w:rPr>
          <w:rFonts w:ascii="Times New Roman" w:eastAsia="仿宋_GB2312" w:hAnsi="Times New Roman" w:cs="Times New Roman"/>
          <w:sz w:val="32"/>
          <w:szCs w:val="32"/>
        </w:rPr>
        <w:t>万元以上案件中侵害商业秘密纠纷占近半数，有</w:t>
      </w:r>
      <w:r>
        <w:rPr>
          <w:rFonts w:ascii="Times New Roman" w:eastAsia="仿宋_GB2312" w:hAnsi="Times New Roman" w:cs="Times New Roman"/>
          <w:sz w:val="32"/>
          <w:szCs w:val="32"/>
        </w:rPr>
        <w:t>1</w:t>
      </w:r>
      <w:r>
        <w:rPr>
          <w:rFonts w:ascii="Times New Roman" w:eastAsia="仿宋_GB2312" w:hAnsi="Times New Roman" w:cs="Times New Roman"/>
          <w:sz w:val="32"/>
          <w:szCs w:val="32"/>
        </w:rPr>
        <w:t>件标的额超</w:t>
      </w:r>
      <w:r>
        <w:rPr>
          <w:rFonts w:ascii="Times New Roman" w:eastAsia="仿宋_GB2312" w:hAnsi="Times New Roman" w:cs="Times New Roman"/>
          <w:sz w:val="32"/>
          <w:szCs w:val="32"/>
        </w:rPr>
        <w:t>4</w:t>
      </w:r>
      <w:r>
        <w:rPr>
          <w:rFonts w:ascii="Times New Roman" w:eastAsia="仿宋_GB2312" w:hAnsi="Times New Roman" w:cs="Times New Roman"/>
          <w:sz w:val="32"/>
          <w:szCs w:val="32"/>
        </w:rPr>
        <w:t>亿元。</w:t>
      </w:r>
      <w:r w:rsidR="00036E12">
        <w:rPr>
          <w:rFonts w:ascii="Times New Roman" w:eastAsia="仿宋_GB2312" w:hAnsi="Times New Roman" w:cs="Times New Roman" w:hint="eastAsia"/>
          <w:sz w:val="32"/>
          <w:szCs w:val="32"/>
        </w:rPr>
        <w:t>相</w:t>
      </w:r>
      <w:r w:rsidR="00036E12">
        <w:rPr>
          <w:rFonts w:ascii="Times New Roman" w:eastAsia="仿宋_GB2312" w:hAnsi="Times New Roman" w:cs="Times New Roman"/>
          <w:sz w:val="32"/>
          <w:szCs w:val="32"/>
        </w:rPr>
        <w:t>应地，</w:t>
      </w:r>
      <w:r w:rsidR="00036E12" w:rsidRPr="00036E12">
        <w:rPr>
          <w:rFonts w:ascii="Times New Roman" w:eastAsia="仿宋_GB2312" w:hAnsi="Times New Roman" w:cs="Times New Roman" w:hint="eastAsia"/>
          <w:sz w:val="32"/>
          <w:szCs w:val="32"/>
        </w:rPr>
        <w:t>判</w:t>
      </w:r>
      <w:r w:rsidR="00036E12">
        <w:rPr>
          <w:rFonts w:ascii="Times New Roman" w:eastAsia="仿宋_GB2312" w:hAnsi="Times New Roman" w:cs="Times New Roman" w:hint="eastAsia"/>
          <w:sz w:val="32"/>
          <w:szCs w:val="32"/>
        </w:rPr>
        <w:t>决</w:t>
      </w:r>
      <w:r w:rsidR="00036E12">
        <w:rPr>
          <w:rFonts w:ascii="Times New Roman" w:eastAsia="仿宋_GB2312" w:hAnsi="Times New Roman" w:cs="Times New Roman"/>
          <w:sz w:val="32"/>
          <w:szCs w:val="32"/>
        </w:rPr>
        <w:t>赔偿数额也不断上升</w:t>
      </w:r>
      <w:r w:rsidR="00036E12">
        <w:rPr>
          <w:rFonts w:ascii="Times New Roman" w:eastAsia="仿宋_GB2312" w:hAnsi="Times New Roman" w:cs="Times New Roman" w:hint="eastAsia"/>
          <w:sz w:val="32"/>
          <w:szCs w:val="32"/>
        </w:rPr>
        <w:t>，</w:t>
      </w:r>
      <w:r w:rsidR="00036E12" w:rsidRPr="00036E12">
        <w:rPr>
          <w:rFonts w:ascii="Times New Roman" w:eastAsia="仿宋_GB2312" w:hAnsi="Times New Roman" w:cs="Times New Roman" w:hint="eastAsia"/>
          <w:sz w:val="32"/>
          <w:szCs w:val="32"/>
        </w:rPr>
        <w:t>个案最高判赔额达</w:t>
      </w:r>
      <w:r w:rsidR="00036E12">
        <w:rPr>
          <w:rFonts w:ascii="Times New Roman" w:eastAsia="仿宋_GB2312" w:hAnsi="Times New Roman" w:cs="Times New Roman" w:hint="eastAsia"/>
          <w:sz w:val="32"/>
          <w:szCs w:val="32"/>
        </w:rPr>
        <w:t>2.01</w:t>
      </w:r>
      <w:r w:rsidR="00036E12">
        <w:rPr>
          <w:rFonts w:ascii="Times New Roman" w:eastAsia="仿宋_GB2312" w:hAnsi="Times New Roman" w:cs="Times New Roman" w:hint="eastAsia"/>
          <w:sz w:val="32"/>
          <w:szCs w:val="32"/>
        </w:rPr>
        <w:t>亿元</w:t>
      </w:r>
      <w:r w:rsidR="00036E12">
        <w:rPr>
          <w:rFonts w:ascii="Times New Roman" w:eastAsia="仿宋_GB2312" w:hAnsi="Times New Roman" w:cs="Times New Roman"/>
          <w:sz w:val="32"/>
          <w:szCs w:val="32"/>
        </w:rPr>
        <w:t>。</w:t>
      </w:r>
    </w:p>
    <w:p w:rsidR="00F36605" w:rsidRDefault="000F7A56">
      <w:pPr>
        <w:spacing w:line="336" w:lineRule="auto"/>
        <w:ind w:firstLineChars="200" w:firstLine="640"/>
        <w:rPr>
          <w:rFonts w:ascii="Times New Roman" w:eastAsia="仿宋_GB2312" w:hAnsi="Times New Roman" w:cs="Times New Roman"/>
          <w:sz w:val="32"/>
          <w:szCs w:val="32"/>
        </w:rPr>
      </w:pPr>
      <w:r>
        <w:rPr>
          <w:rFonts w:ascii="Times New Roman" w:eastAsia="楷体" w:hAnsi="Times New Roman" w:cs="Times New Roman"/>
          <w:bCs/>
          <w:sz w:val="32"/>
          <w:szCs w:val="32"/>
        </w:rPr>
        <w:t>4.</w:t>
      </w:r>
      <w:r>
        <w:rPr>
          <w:rFonts w:ascii="Times New Roman" w:eastAsia="楷体" w:hAnsi="Times New Roman" w:cs="Times New Roman"/>
          <w:bCs/>
          <w:sz w:val="32"/>
          <w:szCs w:val="32"/>
        </w:rPr>
        <w:t>从发展态势来看，新型网络不正当竞争行为频发。</w:t>
      </w:r>
      <w:r>
        <w:rPr>
          <w:rFonts w:ascii="Times New Roman" w:eastAsia="仿宋_GB2312" w:hAnsi="Times New Roman" w:cs="Times New Roman"/>
          <w:sz w:val="32"/>
          <w:szCs w:val="32"/>
        </w:rPr>
        <w:t>与新型网络服务、商业模式等相关的涉及</w:t>
      </w:r>
      <w:proofErr w:type="gramStart"/>
      <w:r>
        <w:rPr>
          <w:rFonts w:ascii="Times New Roman" w:eastAsia="仿宋_GB2312" w:hAnsi="Times New Roman" w:cs="Times New Roman"/>
          <w:sz w:val="32"/>
          <w:szCs w:val="32"/>
        </w:rPr>
        <w:t>微信账号</w:t>
      </w:r>
      <w:proofErr w:type="gramEnd"/>
      <w:r>
        <w:rPr>
          <w:rFonts w:ascii="Times New Roman" w:eastAsia="仿宋_GB2312" w:hAnsi="Times New Roman" w:cs="Times New Roman"/>
          <w:sz w:val="32"/>
          <w:szCs w:val="32"/>
        </w:rPr>
        <w:t>交易、诱导分享、突破社交平台规则限制、不当抓取个人信息、搜索引擎、数据刷量、</w:t>
      </w:r>
      <w:r>
        <w:rPr>
          <w:rFonts w:ascii="Times New Roman" w:eastAsia="仿宋_GB2312" w:hAnsi="Times New Roman" w:cs="Times New Roman"/>
          <w:sz w:val="32"/>
          <w:szCs w:val="32"/>
        </w:rPr>
        <w:t>“</w:t>
      </w:r>
      <w:r>
        <w:rPr>
          <w:rFonts w:ascii="Times New Roman" w:eastAsia="仿宋_GB2312" w:hAnsi="Times New Roman" w:cs="Times New Roman"/>
          <w:sz w:val="32"/>
          <w:szCs w:val="32"/>
        </w:rPr>
        <w:t>大数据杀熟</w:t>
      </w:r>
      <w:r>
        <w:rPr>
          <w:rFonts w:ascii="Times New Roman" w:eastAsia="仿宋_GB2312" w:hAnsi="Times New Roman" w:cs="Times New Roman"/>
          <w:sz w:val="32"/>
          <w:szCs w:val="32"/>
        </w:rPr>
        <w:t>”</w:t>
      </w:r>
      <w:r>
        <w:rPr>
          <w:rFonts w:ascii="Times New Roman" w:eastAsia="仿宋_GB2312" w:hAnsi="Times New Roman" w:cs="Times New Roman"/>
          <w:sz w:val="32"/>
          <w:szCs w:val="32"/>
        </w:rPr>
        <w:t>、强制</w:t>
      </w:r>
      <w:r>
        <w:rPr>
          <w:rFonts w:ascii="Times New Roman" w:eastAsia="仿宋_GB2312" w:hAnsi="Times New Roman" w:cs="Times New Roman"/>
          <w:sz w:val="32"/>
          <w:szCs w:val="32"/>
        </w:rPr>
        <w:t>“</w:t>
      </w:r>
      <w:r>
        <w:rPr>
          <w:rFonts w:ascii="Times New Roman" w:eastAsia="仿宋_GB2312" w:hAnsi="Times New Roman" w:cs="Times New Roman"/>
          <w:sz w:val="32"/>
          <w:szCs w:val="32"/>
        </w:rPr>
        <w:t>二选一</w:t>
      </w:r>
      <w:r>
        <w:rPr>
          <w:rFonts w:ascii="Times New Roman" w:eastAsia="仿宋_GB2312" w:hAnsi="Times New Roman" w:cs="Times New Roman"/>
          <w:sz w:val="32"/>
          <w:szCs w:val="32"/>
        </w:rPr>
        <w:t>”</w:t>
      </w:r>
      <w:r>
        <w:rPr>
          <w:rFonts w:ascii="Times New Roman" w:eastAsia="仿宋_GB2312" w:hAnsi="Times New Roman" w:cs="Times New Roman"/>
          <w:sz w:val="32"/>
          <w:szCs w:val="32"/>
        </w:rPr>
        <w:t>等新型网络不正当竞争纠纷不断出现，网络愈发成为不正当竞争行为多发地。</w:t>
      </w:r>
    </w:p>
    <w:p w:rsidR="00F36605" w:rsidRDefault="00D64D9B">
      <w:pPr>
        <w:spacing w:line="336" w:lineRule="auto"/>
        <w:ind w:firstLineChars="221" w:firstLine="707"/>
        <w:rPr>
          <w:rFonts w:ascii="Times New Roman" w:eastAsia="黑体" w:hAnsi="Times New Roman" w:cs="Times New Roman"/>
          <w:sz w:val="32"/>
          <w:szCs w:val="32"/>
        </w:rPr>
      </w:pPr>
      <w:r>
        <w:rPr>
          <w:rFonts w:ascii="Times New Roman" w:eastAsia="黑体" w:hAnsi="Times New Roman" w:cs="Times New Roman" w:hint="eastAsia"/>
          <w:sz w:val="32"/>
          <w:szCs w:val="32"/>
        </w:rPr>
        <w:t>二</w:t>
      </w:r>
      <w:r w:rsidR="000F7A56">
        <w:rPr>
          <w:rFonts w:ascii="Times New Roman" w:eastAsia="黑体" w:hAnsi="Times New Roman" w:cs="Times New Roman"/>
          <w:sz w:val="32"/>
          <w:szCs w:val="32"/>
        </w:rPr>
        <w:t>、不断健全工作机制，推进公平竞争司法高质量发展</w:t>
      </w:r>
    </w:p>
    <w:p w:rsidR="00F36605" w:rsidRDefault="000F7A56">
      <w:pPr>
        <w:spacing w:line="336" w:lineRule="auto"/>
        <w:ind w:firstLineChars="200" w:firstLine="640"/>
        <w:rPr>
          <w:rFonts w:ascii="Times New Roman" w:eastAsia="仿宋_GB2312" w:hAnsi="Times New Roman" w:cs="Times New Roman"/>
          <w:sz w:val="32"/>
          <w:szCs w:val="32"/>
        </w:rPr>
      </w:pPr>
      <w:r>
        <w:rPr>
          <w:rFonts w:ascii="Times New Roman" w:eastAsia="楷体" w:hAnsi="Times New Roman" w:cs="Times New Roman"/>
          <w:sz w:val="32"/>
          <w:szCs w:val="32"/>
        </w:rPr>
        <w:t>一是不断优化管辖机制，努力提升保护效能。</w:t>
      </w:r>
      <w:r>
        <w:rPr>
          <w:rFonts w:ascii="Times New Roman" w:eastAsia="仿宋_GB2312" w:hAnsi="Times New Roman" w:cs="Times New Roman"/>
          <w:sz w:val="32"/>
          <w:szCs w:val="32"/>
        </w:rPr>
        <w:t>加强中基层法院竞争类案件审判职能。经批准设立南京、苏州、无锡、徐州知识产权法庭，调整中基层法院管辖范围，</w:t>
      </w:r>
      <w:r>
        <w:rPr>
          <w:rFonts w:ascii="Times New Roman" w:eastAsia="仿宋_GB2312" w:hAnsi="Times New Roman" w:cs="Times New Roman"/>
          <w:sz w:val="32"/>
          <w:szCs w:val="32"/>
        </w:rPr>
        <w:t>50</w:t>
      </w:r>
      <w:r>
        <w:rPr>
          <w:rFonts w:ascii="Times New Roman" w:eastAsia="仿宋_GB2312" w:hAnsi="Times New Roman" w:cs="Times New Roman"/>
          <w:sz w:val="32"/>
          <w:szCs w:val="32"/>
        </w:rPr>
        <w:t>家基层法院获准管辖</w:t>
      </w:r>
      <w:r>
        <w:rPr>
          <w:rFonts w:ascii="Times New Roman" w:eastAsia="仿宋_GB2312" w:hAnsi="Times New Roman" w:cs="Times New Roman"/>
          <w:sz w:val="32"/>
          <w:szCs w:val="32"/>
        </w:rPr>
        <w:t>500</w:t>
      </w:r>
      <w:r>
        <w:rPr>
          <w:rFonts w:ascii="Times New Roman" w:eastAsia="仿宋_GB2312" w:hAnsi="Times New Roman" w:cs="Times New Roman"/>
          <w:sz w:val="32"/>
          <w:szCs w:val="32"/>
        </w:rPr>
        <w:t>万元以下的不正当竞争等案件。知识产权法庭数和基层管辖法院数均居全国第一，管辖体系不断优化。</w:t>
      </w:r>
      <w:r w:rsidR="00ED5A18">
        <w:rPr>
          <w:rFonts w:ascii="Times New Roman" w:eastAsia="仿宋_GB2312" w:hAnsi="Times New Roman" w:cs="Times New Roman"/>
          <w:sz w:val="32"/>
          <w:szCs w:val="32"/>
        </w:rPr>
        <w:t>及时回应加强商业秘密保护、维护公平竞争等</w:t>
      </w:r>
      <w:r w:rsidR="00ED5A18">
        <w:rPr>
          <w:rFonts w:ascii="Times New Roman" w:eastAsia="仿宋_GB2312" w:hAnsi="Times New Roman" w:cs="Times New Roman" w:hint="eastAsia"/>
          <w:sz w:val="32"/>
          <w:szCs w:val="32"/>
        </w:rPr>
        <w:t>社会</w:t>
      </w:r>
      <w:r w:rsidR="00ED5A18">
        <w:rPr>
          <w:rFonts w:ascii="Times New Roman" w:eastAsia="仿宋_GB2312" w:hAnsi="Times New Roman" w:cs="Times New Roman"/>
          <w:sz w:val="32"/>
          <w:szCs w:val="32"/>
        </w:rPr>
        <w:t>需求</w:t>
      </w:r>
      <w:r w:rsidR="00ED5A18">
        <w:rPr>
          <w:rFonts w:ascii="Times New Roman" w:eastAsia="仿宋_GB2312" w:hAnsi="Times New Roman" w:cs="Times New Roman" w:hint="eastAsia"/>
          <w:sz w:val="32"/>
          <w:szCs w:val="32"/>
        </w:rPr>
        <w:t>，</w:t>
      </w:r>
      <w:r>
        <w:rPr>
          <w:rFonts w:ascii="Times New Roman" w:eastAsia="仿宋_GB2312" w:hAnsi="Times New Roman" w:cs="Times New Roman"/>
          <w:sz w:val="32"/>
          <w:szCs w:val="32"/>
        </w:rPr>
        <w:t>在科</w:t>
      </w:r>
      <w:r w:rsidR="00ED5A18">
        <w:rPr>
          <w:rFonts w:ascii="Times New Roman" w:eastAsia="仿宋_GB2312" w:hAnsi="Times New Roman" w:cs="Times New Roman"/>
          <w:sz w:val="32"/>
          <w:szCs w:val="32"/>
        </w:rPr>
        <w:t>技园区等设立巡回审判点，在自贸区设立具有知识产权审判职能的法庭</w:t>
      </w:r>
      <w:r>
        <w:rPr>
          <w:rFonts w:ascii="Times New Roman" w:eastAsia="仿宋_GB2312" w:hAnsi="Times New Roman" w:cs="Times New Roman"/>
          <w:sz w:val="32"/>
          <w:szCs w:val="32"/>
        </w:rPr>
        <w:t>。</w:t>
      </w:r>
    </w:p>
    <w:p w:rsidR="00F36605" w:rsidRDefault="000F7A56">
      <w:pPr>
        <w:spacing w:line="336" w:lineRule="auto"/>
        <w:ind w:firstLineChars="200" w:firstLine="640"/>
        <w:rPr>
          <w:rFonts w:ascii="Times New Roman" w:eastAsia="仿宋_GB2312" w:hAnsi="Times New Roman" w:cs="Times New Roman"/>
          <w:sz w:val="32"/>
          <w:szCs w:val="32"/>
        </w:rPr>
      </w:pPr>
      <w:r>
        <w:rPr>
          <w:rFonts w:ascii="Times New Roman" w:eastAsia="楷体" w:hAnsi="Times New Roman" w:cs="Times New Roman"/>
          <w:sz w:val="32"/>
          <w:szCs w:val="32"/>
        </w:rPr>
        <w:t>二是不断强化专业化建设，努力锻造高质量司法。</w:t>
      </w:r>
      <w:r>
        <w:rPr>
          <w:rFonts w:ascii="Times New Roman" w:eastAsia="黑体" w:hAnsi="Times New Roman" w:cs="Times New Roman"/>
          <w:sz w:val="32"/>
          <w:szCs w:val="32"/>
        </w:rPr>
        <w:t>组织高层</w:t>
      </w:r>
      <w:r>
        <w:rPr>
          <w:rFonts w:ascii="Times New Roman" w:eastAsia="黑体" w:hAnsi="Times New Roman" w:cs="Times New Roman"/>
          <w:sz w:val="32"/>
          <w:szCs w:val="32"/>
        </w:rPr>
        <w:lastRenderedPageBreak/>
        <w:t>论坛。</w:t>
      </w:r>
      <w:r>
        <w:rPr>
          <w:rFonts w:ascii="Times New Roman" w:eastAsia="仿宋_GB2312" w:hAnsi="Times New Roman" w:cs="Times New Roman"/>
          <w:sz w:val="32"/>
          <w:szCs w:val="32"/>
        </w:rPr>
        <w:t>以</w:t>
      </w:r>
      <w:r>
        <w:rPr>
          <w:rFonts w:ascii="Times New Roman" w:eastAsia="仿宋_GB2312" w:hAnsi="Times New Roman" w:cs="Times New Roman"/>
          <w:sz w:val="32"/>
          <w:szCs w:val="32"/>
        </w:rPr>
        <w:t>“</w:t>
      </w:r>
      <w:r>
        <w:rPr>
          <w:rFonts w:ascii="Times New Roman" w:eastAsia="仿宋_GB2312" w:hAnsi="Times New Roman" w:cs="Times New Roman"/>
          <w:sz w:val="32"/>
          <w:szCs w:val="32"/>
        </w:rPr>
        <w:t>互联网竞争秩序规制</w:t>
      </w:r>
      <w:r>
        <w:rPr>
          <w:rFonts w:ascii="Times New Roman" w:eastAsia="仿宋_GB2312" w:hAnsi="Times New Roman" w:cs="Times New Roman"/>
          <w:sz w:val="32"/>
          <w:szCs w:val="32"/>
        </w:rPr>
        <w:t>”</w:t>
      </w:r>
      <w:r>
        <w:rPr>
          <w:rFonts w:ascii="Times New Roman" w:eastAsia="仿宋_GB2312" w:hAnsi="Times New Roman" w:cs="Times New Roman"/>
          <w:sz w:val="32"/>
          <w:szCs w:val="32"/>
        </w:rPr>
        <w:t>为主题召开省法学会知识产权法学研究会年会，邀请国内著名理论及实务专家演讲交流，为进一步规范互联网竞争秩序、推动平台健康发展建言献策。创办江苏法官</w:t>
      </w:r>
      <w:r>
        <w:rPr>
          <w:rFonts w:ascii="Times New Roman" w:eastAsia="仿宋_GB2312" w:hAnsi="Times New Roman" w:cs="Times New Roman"/>
          <w:sz w:val="32"/>
          <w:szCs w:val="32"/>
        </w:rPr>
        <w:t>“</w:t>
      </w:r>
      <w:r>
        <w:rPr>
          <w:rFonts w:ascii="Times New Roman" w:eastAsia="仿宋_GB2312" w:hAnsi="Times New Roman" w:cs="Times New Roman"/>
          <w:sz w:val="32"/>
          <w:szCs w:val="32"/>
        </w:rPr>
        <w:t>智峰论坛</w:t>
      </w:r>
      <w:r>
        <w:rPr>
          <w:rFonts w:ascii="Times New Roman" w:eastAsia="仿宋_GB2312" w:hAnsi="Times New Roman" w:cs="Times New Roman"/>
          <w:sz w:val="32"/>
          <w:szCs w:val="32"/>
        </w:rPr>
        <w:t>”</w:t>
      </w:r>
      <w:r>
        <w:rPr>
          <w:rFonts w:ascii="Times New Roman" w:eastAsia="仿宋_GB2312" w:hAnsi="Times New Roman" w:cs="Times New Roman"/>
          <w:sz w:val="32"/>
          <w:szCs w:val="32"/>
        </w:rPr>
        <w:t>，就</w:t>
      </w:r>
      <w:r>
        <w:rPr>
          <w:rFonts w:ascii="Times New Roman" w:eastAsia="仿宋_GB2312" w:hAnsi="Times New Roman" w:cs="Times New Roman"/>
          <w:sz w:val="32"/>
          <w:szCs w:val="32"/>
        </w:rPr>
        <w:t>“</w:t>
      </w:r>
      <w:r>
        <w:rPr>
          <w:rFonts w:ascii="Times New Roman" w:eastAsia="仿宋_GB2312" w:hAnsi="Times New Roman" w:cs="Times New Roman"/>
          <w:sz w:val="32"/>
          <w:szCs w:val="32"/>
        </w:rPr>
        <w:t>特许经营中的法律问题</w:t>
      </w:r>
      <w:r>
        <w:rPr>
          <w:rFonts w:ascii="Times New Roman" w:eastAsia="仿宋_GB2312" w:hAnsi="Times New Roman" w:cs="Times New Roman"/>
          <w:sz w:val="32"/>
          <w:szCs w:val="32"/>
        </w:rPr>
        <w:t>”</w:t>
      </w:r>
      <w:r>
        <w:rPr>
          <w:rFonts w:ascii="Times New Roman" w:eastAsia="仿宋_GB2312" w:hAnsi="Times New Roman" w:cs="Times New Roman"/>
          <w:sz w:val="32"/>
          <w:szCs w:val="32"/>
        </w:rPr>
        <w:t>组织研讨，推动知识产权特许经营行业公平竞争、规范发展。</w:t>
      </w:r>
      <w:r>
        <w:rPr>
          <w:rFonts w:ascii="Times New Roman" w:eastAsia="黑体" w:hAnsi="Times New Roman" w:cs="Times New Roman"/>
          <w:sz w:val="32"/>
          <w:szCs w:val="32"/>
        </w:rPr>
        <w:t>加强专题调研。</w:t>
      </w:r>
      <w:r>
        <w:rPr>
          <w:rFonts w:ascii="Times New Roman" w:eastAsia="仿宋_GB2312" w:hAnsi="Times New Roman" w:cs="Times New Roman"/>
          <w:sz w:val="32"/>
          <w:szCs w:val="32"/>
        </w:rPr>
        <w:t>设立涉集成电路、互联网知识产权保护调研基地，承担全国人大、最高法院、国家知识产权局等调研课题，完成的涉互联网平台竞争秩序规制课题的研究报告在省委政法委《江苏政法》第</w:t>
      </w:r>
      <w:r>
        <w:rPr>
          <w:rFonts w:ascii="Times New Roman" w:eastAsia="仿宋_GB2312" w:hAnsi="Times New Roman" w:cs="Times New Roman"/>
          <w:sz w:val="32"/>
          <w:szCs w:val="32"/>
        </w:rPr>
        <w:t>32</w:t>
      </w:r>
      <w:r>
        <w:rPr>
          <w:rFonts w:ascii="Times New Roman" w:eastAsia="仿宋_GB2312" w:hAnsi="Times New Roman" w:cs="Times New Roman"/>
          <w:sz w:val="32"/>
          <w:szCs w:val="32"/>
        </w:rPr>
        <w:t>期刊发。修订并下发商业秘密侵权和商标侵权案件审理指南，统一裁判标准，受到最高法院充分肯定。</w:t>
      </w:r>
      <w:r>
        <w:rPr>
          <w:rFonts w:ascii="Times New Roman" w:eastAsia="黑体" w:hAnsi="Times New Roman" w:cs="Times New Roman"/>
          <w:sz w:val="32"/>
          <w:szCs w:val="32"/>
        </w:rPr>
        <w:t>推进精品战略</w:t>
      </w:r>
      <w:r>
        <w:rPr>
          <w:rFonts w:ascii="Times New Roman" w:eastAsia="仿宋_GB2312" w:hAnsi="Times New Roman" w:cs="Times New Roman"/>
          <w:sz w:val="32"/>
          <w:szCs w:val="32"/>
        </w:rPr>
        <w:t>。</w:t>
      </w:r>
      <w:r>
        <w:rPr>
          <w:rFonts w:ascii="Times New Roman" w:eastAsia="仿宋_GB2312" w:hAnsi="Times New Roman" w:cs="Times New Roman"/>
          <w:sz w:val="32"/>
          <w:szCs w:val="32"/>
        </w:rPr>
        <w:t>2019</w:t>
      </w:r>
      <w:r>
        <w:rPr>
          <w:rFonts w:ascii="Times New Roman" w:eastAsia="仿宋_GB2312" w:hAnsi="Times New Roman" w:cs="Times New Roman"/>
          <w:sz w:val="32"/>
          <w:szCs w:val="32"/>
        </w:rPr>
        <w:t>年以来有</w:t>
      </w:r>
      <w:r>
        <w:rPr>
          <w:rFonts w:ascii="Times New Roman" w:eastAsia="仿宋_GB2312" w:hAnsi="Times New Roman" w:cs="Times New Roman"/>
          <w:sz w:val="32"/>
          <w:szCs w:val="32"/>
        </w:rPr>
        <w:t>7</w:t>
      </w:r>
      <w:r>
        <w:rPr>
          <w:rFonts w:ascii="Times New Roman" w:eastAsia="仿宋_GB2312" w:hAnsi="Times New Roman" w:cs="Times New Roman"/>
          <w:sz w:val="32"/>
          <w:szCs w:val="32"/>
        </w:rPr>
        <w:t>件垄断及不正当竞争案件入选中国法院十大知识产权案件、反垄断反不正当竞争典型案例、适用惩罚性赔偿典型案例等；</w:t>
      </w:r>
      <w:r>
        <w:rPr>
          <w:rFonts w:ascii="Times New Roman" w:eastAsia="仿宋_GB2312" w:hAnsi="Times New Roman" w:cs="Times New Roman"/>
          <w:sz w:val="32"/>
          <w:szCs w:val="32"/>
        </w:rPr>
        <w:t>5</w:t>
      </w:r>
      <w:r>
        <w:rPr>
          <w:rFonts w:ascii="Times New Roman" w:eastAsia="仿宋_GB2312" w:hAnsi="Times New Roman" w:cs="Times New Roman"/>
          <w:sz w:val="32"/>
          <w:szCs w:val="32"/>
        </w:rPr>
        <w:t>篇优秀文书入选全国</w:t>
      </w:r>
      <w:r>
        <w:rPr>
          <w:rFonts w:ascii="Times New Roman" w:eastAsia="仿宋_GB2312" w:hAnsi="Times New Roman" w:cs="Times New Roman"/>
          <w:sz w:val="32"/>
          <w:szCs w:val="32"/>
        </w:rPr>
        <w:t>“</w:t>
      </w:r>
      <w:r>
        <w:rPr>
          <w:rFonts w:ascii="Times New Roman" w:eastAsia="仿宋_GB2312" w:hAnsi="Times New Roman" w:cs="Times New Roman"/>
          <w:sz w:val="32"/>
          <w:szCs w:val="32"/>
        </w:rPr>
        <w:t>百篇优秀裁判文书</w:t>
      </w:r>
      <w:r>
        <w:rPr>
          <w:rFonts w:ascii="Times New Roman" w:eastAsia="仿宋_GB2312" w:hAnsi="Times New Roman" w:cs="Times New Roman"/>
          <w:sz w:val="32"/>
          <w:szCs w:val="32"/>
        </w:rPr>
        <w:t>”</w:t>
      </w:r>
      <w:r>
        <w:rPr>
          <w:rFonts w:ascii="Times New Roman" w:eastAsia="仿宋_GB2312" w:hAnsi="Times New Roman" w:cs="Times New Roman"/>
          <w:sz w:val="32"/>
          <w:szCs w:val="32"/>
        </w:rPr>
        <w:t>、全国法院技术类知识产权和垄断案件优秀裁判文书，</w:t>
      </w:r>
      <w:r>
        <w:rPr>
          <w:rFonts w:ascii="Times New Roman" w:eastAsia="仿宋_GB2312" w:hAnsi="Times New Roman" w:cs="Times New Roman" w:hint="eastAsia"/>
          <w:sz w:val="32"/>
          <w:szCs w:val="32"/>
        </w:rPr>
        <w:t>获</w:t>
      </w:r>
      <w:r>
        <w:rPr>
          <w:rFonts w:ascii="Times New Roman" w:eastAsia="仿宋_GB2312" w:hAnsi="Times New Roman" w:cs="Times New Roman"/>
          <w:sz w:val="32"/>
          <w:szCs w:val="32"/>
        </w:rPr>
        <w:t>评第四届全国</w:t>
      </w:r>
      <w:r>
        <w:rPr>
          <w:rFonts w:ascii="Times New Roman" w:eastAsia="仿宋_GB2312" w:hAnsi="Times New Roman" w:cs="Times New Roman" w:hint="eastAsia"/>
          <w:sz w:val="32"/>
          <w:szCs w:val="32"/>
        </w:rPr>
        <w:t>优秀</w:t>
      </w:r>
      <w:r>
        <w:rPr>
          <w:rFonts w:ascii="Times New Roman" w:eastAsia="仿宋_GB2312" w:hAnsi="Times New Roman" w:cs="Times New Roman"/>
          <w:sz w:val="32"/>
          <w:szCs w:val="32"/>
        </w:rPr>
        <w:t>知识产权裁判文书一、二等奖等。</w:t>
      </w:r>
      <w:r>
        <w:rPr>
          <w:rFonts w:ascii="Times New Roman" w:eastAsia="黑体" w:hAnsi="Times New Roman" w:cs="Times New Roman"/>
          <w:sz w:val="32"/>
          <w:szCs w:val="32"/>
        </w:rPr>
        <w:t>强化人才建设。</w:t>
      </w:r>
      <w:r>
        <w:rPr>
          <w:rFonts w:ascii="Times New Roman" w:eastAsia="仿宋_GB2312" w:hAnsi="Times New Roman" w:cs="Times New Roman"/>
          <w:sz w:val="32"/>
          <w:szCs w:val="32"/>
        </w:rPr>
        <w:t>全省法院</w:t>
      </w:r>
      <w:r>
        <w:rPr>
          <w:rFonts w:ascii="Times New Roman" w:eastAsia="仿宋_GB2312" w:hAnsi="Times New Roman" w:cs="Times New Roman"/>
          <w:sz w:val="32"/>
          <w:szCs w:val="32"/>
        </w:rPr>
        <w:t>2</w:t>
      </w:r>
      <w:r>
        <w:rPr>
          <w:rFonts w:ascii="Times New Roman" w:eastAsia="仿宋_GB2312" w:hAnsi="Times New Roman" w:cs="Times New Roman"/>
          <w:sz w:val="32"/>
          <w:szCs w:val="32"/>
        </w:rPr>
        <w:t>名法官被评为全国审判业务专家，</w:t>
      </w:r>
      <w:r>
        <w:rPr>
          <w:rFonts w:ascii="Times New Roman" w:eastAsia="仿宋_GB2312" w:hAnsi="Times New Roman" w:cs="Times New Roman"/>
          <w:sz w:val="32"/>
          <w:szCs w:val="32"/>
        </w:rPr>
        <w:t>37</w:t>
      </w:r>
      <w:r>
        <w:rPr>
          <w:rFonts w:ascii="Times New Roman" w:eastAsia="仿宋_GB2312" w:hAnsi="Times New Roman" w:cs="Times New Roman"/>
          <w:sz w:val="32"/>
          <w:szCs w:val="32"/>
        </w:rPr>
        <w:t>名法官被授予全省审判业务专家、省知识产权领军人才、骨干人才称号，</w:t>
      </w:r>
      <w:r>
        <w:rPr>
          <w:rFonts w:ascii="Times New Roman" w:eastAsia="仿宋_GB2312" w:hAnsi="Times New Roman" w:cs="Times New Roman"/>
          <w:sz w:val="32"/>
          <w:szCs w:val="32"/>
        </w:rPr>
        <w:t>3</w:t>
      </w:r>
      <w:r>
        <w:rPr>
          <w:rFonts w:ascii="Times New Roman" w:eastAsia="仿宋_GB2312" w:hAnsi="Times New Roman" w:cs="Times New Roman"/>
          <w:sz w:val="32"/>
          <w:szCs w:val="32"/>
        </w:rPr>
        <w:t>名法官被聘为省反不正当竞争决策咨询委员会专家。</w:t>
      </w:r>
    </w:p>
    <w:p w:rsidR="00F36605" w:rsidRDefault="000F7A56">
      <w:pPr>
        <w:spacing w:line="336" w:lineRule="auto"/>
        <w:ind w:firstLineChars="200" w:firstLine="640"/>
        <w:rPr>
          <w:rFonts w:ascii="Times New Roman" w:eastAsia="仿宋_GB2312" w:hAnsi="Times New Roman" w:cs="Times New Roman"/>
          <w:sz w:val="32"/>
          <w:szCs w:val="32"/>
        </w:rPr>
      </w:pPr>
      <w:r>
        <w:rPr>
          <w:rFonts w:ascii="Times New Roman" w:eastAsia="楷体" w:hAnsi="Times New Roman" w:cs="Times New Roman"/>
          <w:sz w:val="32"/>
          <w:szCs w:val="32"/>
        </w:rPr>
        <w:t>三是不断完善技术调查官制度，努力解决技术秘密等案件事实查明难题。</w:t>
      </w:r>
      <w:r>
        <w:rPr>
          <w:rFonts w:ascii="Times New Roman" w:eastAsia="仿宋_GB2312" w:hAnsi="Times New Roman" w:cs="Times New Roman"/>
          <w:sz w:val="32"/>
          <w:szCs w:val="32"/>
        </w:rPr>
        <w:t>充分发挥技术调查官在审判各环节辅助查明技术事实职能，有效解决技术鉴定周期长、当事人负担重等问题。南京知识产权法庭在全国首创专职技术调查官制度，面向社会公开选</w:t>
      </w:r>
      <w:r>
        <w:rPr>
          <w:rFonts w:ascii="Times New Roman" w:eastAsia="仿宋_GB2312" w:hAnsi="Times New Roman" w:cs="Times New Roman"/>
          <w:sz w:val="32"/>
          <w:szCs w:val="32"/>
        </w:rPr>
        <w:lastRenderedPageBreak/>
        <w:t>拔聘用，为审判提供稳定的专业支持。相关经验获</w:t>
      </w:r>
      <w:r>
        <w:rPr>
          <w:rFonts w:ascii="Times New Roman" w:eastAsia="仿宋_GB2312" w:hAnsi="Times New Roman" w:cs="Times New Roman"/>
          <w:sz w:val="32"/>
          <w:szCs w:val="32"/>
        </w:rPr>
        <w:t>“</w:t>
      </w:r>
      <w:r>
        <w:rPr>
          <w:rFonts w:ascii="Times New Roman" w:eastAsia="仿宋_GB2312" w:hAnsi="Times New Roman" w:cs="Times New Roman"/>
          <w:sz w:val="32"/>
          <w:szCs w:val="32"/>
        </w:rPr>
        <w:t>江苏省法治建设创新奖</w:t>
      </w:r>
      <w:r>
        <w:rPr>
          <w:rFonts w:ascii="Times New Roman" w:eastAsia="仿宋_GB2312" w:hAnsi="Times New Roman" w:cs="Times New Roman"/>
          <w:sz w:val="32"/>
          <w:szCs w:val="32"/>
        </w:rPr>
        <w:t>”</w:t>
      </w:r>
      <w:r>
        <w:rPr>
          <w:rFonts w:ascii="Times New Roman" w:eastAsia="仿宋_GB2312" w:hAnsi="Times New Roman" w:cs="Times New Roman"/>
          <w:sz w:val="32"/>
          <w:szCs w:val="32"/>
        </w:rPr>
        <w:t>一等奖，并得到最高法院主要负责人批示肯定。苏州知识产权法庭与国家知识产权局专利局专利审查协作江苏中心合作，选拔优秀审查员担任技术调查官，采用</w:t>
      </w:r>
      <w:r>
        <w:rPr>
          <w:rFonts w:ascii="Times New Roman" w:eastAsia="仿宋_GB2312" w:hAnsi="Times New Roman" w:cs="Times New Roman"/>
          <w:sz w:val="32"/>
          <w:szCs w:val="32"/>
        </w:rPr>
        <w:t>“</w:t>
      </w:r>
      <w:r>
        <w:rPr>
          <w:rFonts w:ascii="Times New Roman" w:eastAsia="仿宋_GB2312" w:hAnsi="Times New Roman" w:cs="Times New Roman"/>
          <w:sz w:val="32"/>
          <w:szCs w:val="32"/>
        </w:rPr>
        <w:t>固定工时为主、个案咨询为辅</w:t>
      </w:r>
      <w:r>
        <w:rPr>
          <w:rFonts w:ascii="Times New Roman" w:eastAsia="仿宋_GB2312" w:hAnsi="Times New Roman" w:cs="Times New Roman"/>
          <w:sz w:val="32"/>
          <w:szCs w:val="32"/>
        </w:rPr>
        <w:t>”</w:t>
      </w:r>
      <w:r>
        <w:rPr>
          <w:rFonts w:ascii="Times New Roman" w:eastAsia="仿宋_GB2312" w:hAnsi="Times New Roman" w:cs="Times New Roman"/>
          <w:sz w:val="32"/>
          <w:szCs w:val="32"/>
        </w:rPr>
        <w:t>工作模式；积极探索调查官兼任</w:t>
      </w:r>
      <w:r>
        <w:rPr>
          <w:rFonts w:ascii="Times New Roman" w:eastAsia="仿宋_GB2312" w:hAnsi="Times New Roman" w:cs="Times New Roman"/>
          <w:sz w:val="32"/>
          <w:szCs w:val="32"/>
        </w:rPr>
        <w:t>“</w:t>
      </w:r>
      <w:r>
        <w:rPr>
          <w:rFonts w:ascii="Times New Roman" w:eastAsia="仿宋_GB2312" w:hAnsi="Times New Roman" w:cs="Times New Roman"/>
          <w:sz w:val="32"/>
          <w:szCs w:val="32"/>
        </w:rPr>
        <w:t>特邀调解员</w:t>
      </w:r>
      <w:r>
        <w:rPr>
          <w:rFonts w:ascii="Times New Roman" w:eastAsia="仿宋_GB2312" w:hAnsi="Times New Roman" w:cs="Times New Roman"/>
          <w:sz w:val="32"/>
          <w:szCs w:val="32"/>
        </w:rPr>
        <w:t>”“</w:t>
      </w:r>
      <w:r>
        <w:rPr>
          <w:rFonts w:ascii="Times New Roman" w:eastAsia="仿宋_GB2312" w:hAnsi="Times New Roman" w:cs="Times New Roman"/>
          <w:sz w:val="32"/>
          <w:szCs w:val="32"/>
        </w:rPr>
        <w:t>人民陪审员</w:t>
      </w:r>
      <w:r>
        <w:rPr>
          <w:rFonts w:ascii="Times New Roman" w:eastAsia="仿宋_GB2312" w:hAnsi="Times New Roman" w:cs="Times New Roman"/>
          <w:sz w:val="32"/>
          <w:szCs w:val="32"/>
        </w:rPr>
        <w:t>”</w:t>
      </w:r>
      <w:r>
        <w:rPr>
          <w:rFonts w:ascii="Times New Roman" w:eastAsia="仿宋_GB2312" w:hAnsi="Times New Roman" w:cs="Times New Roman"/>
          <w:sz w:val="32"/>
          <w:szCs w:val="32"/>
        </w:rPr>
        <w:t>机制，与国家知识产权局首次就同一专利民事诉讼与无效宣告联合审理。</w:t>
      </w:r>
      <w:r w:rsidR="001D7DD5">
        <w:rPr>
          <w:rFonts w:ascii="Times New Roman" w:eastAsia="仿宋_GB2312" w:hAnsi="Times New Roman" w:cs="Times New Roman"/>
          <w:sz w:val="32"/>
          <w:szCs w:val="32"/>
        </w:rPr>
        <w:t>2021</w:t>
      </w:r>
      <w:r w:rsidR="001D7DD5">
        <w:rPr>
          <w:rFonts w:ascii="Times New Roman" w:eastAsia="仿宋_GB2312" w:hAnsi="Times New Roman" w:cs="Times New Roman"/>
          <w:sz w:val="32"/>
          <w:szCs w:val="32"/>
        </w:rPr>
        <w:t>年以来，</w:t>
      </w:r>
      <w:r w:rsidR="001D7DD5">
        <w:rPr>
          <w:rFonts w:ascii="Times New Roman" w:eastAsia="仿宋_GB2312" w:hAnsi="Times New Roman" w:cs="Times New Roman" w:hint="eastAsia"/>
          <w:sz w:val="32"/>
          <w:szCs w:val="32"/>
        </w:rPr>
        <w:t>两</w:t>
      </w:r>
      <w:r w:rsidR="001D7DD5">
        <w:rPr>
          <w:rFonts w:ascii="Times New Roman" w:eastAsia="仿宋_GB2312" w:hAnsi="Times New Roman" w:cs="Times New Roman"/>
          <w:sz w:val="32"/>
          <w:szCs w:val="32"/>
        </w:rPr>
        <w:t>法庭技术</w:t>
      </w:r>
      <w:proofErr w:type="gramStart"/>
      <w:r w:rsidR="001D7DD5">
        <w:rPr>
          <w:rFonts w:ascii="Times New Roman" w:eastAsia="仿宋_GB2312" w:hAnsi="Times New Roman" w:cs="Times New Roman"/>
          <w:sz w:val="32"/>
          <w:szCs w:val="32"/>
        </w:rPr>
        <w:t>调查官共参与</w:t>
      </w:r>
      <w:proofErr w:type="gramEnd"/>
      <w:r w:rsidR="001D7DD5">
        <w:rPr>
          <w:rFonts w:ascii="Times New Roman" w:eastAsia="仿宋_GB2312" w:hAnsi="Times New Roman" w:cs="Times New Roman"/>
          <w:sz w:val="32"/>
          <w:szCs w:val="32"/>
        </w:rPr>
        <w:t>1401</w:t>
      </w:r>
      <w:r w:rsidR="001D7DD5">
        <w:rPr>
          <w:rFonts w:ascii="Times New Roman" w:eastAsia="仿宋_GB2312" w:hAnsi="Times New Roman" w:cs="Times New Roman"/>
          <w:sz w:val="32"/>
          <w:szCs w:val="32"/>
        </w:rPr>
        <w:t>件案件的事实调查，参与勘验、保全</w:t>
      </w:r>
      <w:r w:rsidR="001D7DD5">
        <w:rPr>
          <w:rFonts w:ascii="Times New Roman" w:eastAsia="仿宋_GB2312" w:hAnsi="Times New Roman" w:cs="Times New Roman"/>
          <w:sz w:val="32"/>
          <w:szCs w:val="32"/>
        </w:rPr>
        <w:t>124</w:t>
      </w:r>
      <w:r w:rsidR="001D7DD5">
        <w:rPr>
          <w:rFonts w:ascii="Times New Roman" w:eastAsia="仿宋_GB2312" w:hAnsi="Times New Roman" w:cs="Times New Roman"/>
          <w:sz w:val="32"/>
          <w:szCs w:val="32"/>
        </w:rPr>
        <w:t>次，参与庭审、听证</w:t>
      </w:r>
      <w:r w:rsidR="001D7DD5">
        <w:rPr>
          <w:rFonts w:ascii="Times New Roman" w:eastAsia="仿宋_GB2312" w:hAnsi="Times New Roman" w:cs="Times New Roman"/>
          <w:sz w:val="32"/>
          <w:szCs w:val="32"/>
        </w:rPr>
        <w:t>912</w:t>
      </w:r>
      <w:r w:rsidR="001D7DD5">
        <w:rPr>
          <w:rFonts w:ascii="Times New Roman" w:eastAsia="仿宋_GB2312" w:hAnsi="Times New Roman" w:cs="Times New Roman"/>
          <w:sz w:val="32"/>
          <w:szCs w:val="32"/>
        </w:rPr>
        <w:t>次，出具书面调查报告</w:t>
      </w:r>
      <w:r w:rsidR="001D7DD5">
        <w:rPr>
          <w:rFonts w:ascii="Times New Roman" w:eastAsia="仿宋_GB2312" w:hAnsi="Times New Roman" w:cs="Times New Roman"/>
          <w:sz w:val="32"/>
          <w:szCs w:val="32"/>
        </w:rPr>
        <w:t>530</w:t>
      </w:r>
      <w:r w:rsidR="001D7DD5">
        <w:rPr>
          <w:rFonts w:ascii="Times New Roman" w:eastAsia="仿宋_GB2312" w:hAnsi="Times New Roman" w:cs="Times New Roman"/>
          <w:sz w:val="32"/>
          <w:szCs w:val="32"/>
        </w:rPr>
        <w:t>份。</w:t>
      </w:r>
      <w:r w:rsidR="001D7DD5">
        <w:rPr>
          <w:rFonts w:ascii="Times New Roman" w:eastAsia="仿宋_GB2312" w:hAnsi="Times New Roman" w:cs="Times New Roman" w:hint="eastAsia"/>
          <w:sz w:val="32"/>
          <w:szCs w:val="32"/>
        </w:rPr>
        <w:t>省</w:t>
      </w:r>
      <w:r w:rsidR="001D7DD5">
        <w:rPr>
          <w:rFonts w:ascii="Times New Roman" w:eastAsia="仿宋_GB2312" w:hAnsi="Times New Roman" w:cs="Times New Roman"/>
          <w:sz w:val="32"/>
          <w:szCs w:val="32"/>
        </w:rPr>
        <w:t>法院</w:t>
      </w:r>
      <w:r w:rsidR="001D7DD5">
        <w:rPr>
          <w:rFonts w:ascii="Times New Roman" w:eastAsia="仿宋" w:hAnsi="Times New Roman" w:cs="Times New Roman"/>
          <w:sz w:val="32"/>
          <w:szCs w:val="32"/>
        </w:rPr>
        <w:t>推</w:t>
      </w:r>
      <w:r w:rsidR="001D7DD5">
        <w:rPr>
          <w:rFonts w:ascii="Times New Roman" w:eastAsia="仿宋" w:hAnsi="Times New Roman" w:cs="Times New Roman" w:hint="eastAsia"/>
          <w:sz w:val="32"/>
          <w:szCs w:val="32"/>
        </w:rPr>
        <w:t>动</w:t>
      </w:r>
      <w:r w:rsidR="001D7DD5">
        <w:rPr>
          <w:rFonts w:ascii="Times New Roman" w:eastAsia="仿宋_GB2312" w:hAnsi="Times New Roman" w:cs="Times New Roman"/>
          <w:sz w:val="32"/>
          <w:szCs w:val="32"/>
        </w:rPr>
        <w:t>技术调查</w:t>
      </w:r>
      <w:proofErr w:type="gramStart"/>
      <w:r w:rsidR="001D7DD5">
        <w:rPr>
          <w:rFonts w:ascii="Times New Roman" w:eastAsia="仿宋_GB2312" w:hAnsi="Times New Roman" w:cs="Times New Roman"/>
          <w:sz w:val="32"/>
          <w:szCs w:val="32"/>
        </w:rPr>
        <w:t>官</w:t>
      </w:r>
      <w:r w:rsidR="001D7DD5">
        <w:rPr>
          <w:rFonts w:ascii="Times New Roman" w:eastAsia="仿宋_GB2312" w:hAnsi="Times New Roman" w:cs="Times New Roman" w:hint="eastAsia"/>
          <w:sz w:val="32"/>
          <w:szCs w:val="32"/>
        </w:rPr>
        <w:t>全</w:t>
      </w:r>
      <w:r w:rsidR="001D7DD5">
        <w:rPr>
          <w:rFonts w:ascii="Times New Roman" w:eastAsia="仿宋_GB2312" w:hAnsi="Times New Roman" w:cs="Times New Roman"/>
          <w:sz w:val="32"/>
          <w:szCs w:val="32"/>
        </w:rPr>
        <w:t>省</w:t>
      </w:r>
      <w:proofErr w:type="gramEnd"/>
      <w:r w:rsidR="001D7DD5">
        <w:rPr>
          <w:rFonts w:ascii="Times New Roman" w:eastAsia="仿宋_GB2312" w:hAnsi="Times New Roman" w:cs="Times New Roman" w:hint="eastAsia"/>
          <w:sz w:val="32"/>
          <w:szCs w:val="32"/>
        </w:rPr>
        <w:t>乃</w:t>
      </w:r>
      <w:r w:rsidR="001D7DD5">
        <w:rPr>
          <w:rFonts w:ascii="Times New Roman" w:eastAsia="仿宋_GB2312" w:hAnsi="Times New Roman" w:cs="Times New Roman"/>
          <w:sz w:val="32"/>
          <w:szCs w:val="32"/>
        </w:rPr>
        <w:t>至全国共享</w:t>
      </w:r>
      <w:r w:rsidR="001D7DD5">
        <w:rPr>
          <w:rFonts w:ascii="Times New Roman" w:eastAsia="仿宋_GB2312" w:hAnsi="Times New Roman" w:cs="Times New Roman" w:hint="eastAsia"/>
          <w:sz w:val="32"/>
          <w:szCs w:val="32"/>
        </w:rPr>
        <w:t>。</w:t>
      </w:r>
    </w:p>
    <w:p w:rsidR="00F36605" w:rsidRDefault="000F7A56">
      <w:pPr>
        <w:spacing w:line="336" w:lineRule="auto"/>
        <w:ind w:firstLineChars="200" w:firstLine="640"/>
        <w:rPr>
          <w:rFonts w:ascii="Times New Roman" w:eastAsia="仿宋_GB2312" w:hAnsiTheme="majorBidi" w:cs="Times New Roman"/>
          <w:sz w:val="32"/>
          <w:szCs w:val="32"/>
        </w:rPr>
      </w:pPr>
      <w:r>
        <w:rPr>
          <w:rFonts w:ascii="Times New Roman" w:eastAsia="楷体" w:hAnsi="Times New Roman" w:cs="Times New Roman"/>
          <w:sz w:val="32"/>
          <w:szCs w:val="32"/>
        </w:rPr>
        <w:t>四是不断完善多元解纷机制，努力促进纠纷实质性化解。</w:t>
      </w:r>
      <w:r>
        <w:rPr>
          <w:rFonts w:ascii="Times New Roman" w:eastAsia="仿宋_GB2312" w:hAnsi="Times New Roman" w:cs="Times New Roman"/>
          <w:sz w:val="32"/>
          <w:szCs w:val="32"/>
        </w:rPr>
        <w:t>与省律师协会、专利代理人协会建立知识产权律师、专利代理人驻诉讼服务中心律师工作站调解知识产权纠纷工作机制；联合省知识产权局建立</w:t>
      </w:r>
      <w:proofErr w:type="gramStart"/>
      <w:r>
        <w:rPr>
          <w:rFonts w:ascii="Times New Roman" w:eastAsia="仿宋_GB2312" w:hAnsi="Times New Roman" w:cs="Times New Roman"/>
          <w:sz w:val="32"/>
          <w:szCs w:val="32"/>
        </w:rPr>
        <w:t>在线诉调对接</w:t>
      </w:r>
      <w:proofErr w:type="gramEnd"/>
      <w:r>
        <w:rPr>
          <w:rFonts w:ascii="Times New Roman" w:eastAsia="仿宋_GB2312" w:hAnsi="Times New Roman" w:cs="Times New Roman"/>
          <w:sz w:val="32"/>
          <w:szCs w:val="32"/>
        </w:rPr>
        <w:t>机制，选聘调解组织和调解员，建设在线调解平台。落实强国建设纲要要求，出台实施办法，积极探索知识产权民事纠纷行政调解协议司法确认。</w:t>
      </w:r>
      <w:r>
        <w:rPr>
          <w:rFonts w:ascii="Times New Roman" w:eastAsia="仿宋_GB2312" w:hAnsi="Times New Roman" w:cs="Times New Roman"/>
          <w:sz w:val="32"/>
          <w:szCs w:val="32"/>
        </w:rPr>
        <w:t>2019</w:t>
      </w:r>
      <w:r>
        <w:rPr>
          <w:rFonts w:ascii="Times New Roman" w:eastAsia="仿宋_GB2312" w:hAnsi="Times New Roman" w:cs="Times New Roman"/>
          <w:sz w:val="32"/>
          <w:szCs w:val="32"/>
        </w:rPr>
        <w:t>年以来，通过诉前调解成功化解不正当竞争纠纷</w:t>
      </w:r>
      <w:r>
        <w:rPr>
          <w:rFonts w:ascii="Times New Roman" w:eastAsia="仿宋_GB2312" w:hAnsi="Times New Roman" w:cs="Times New Roman"/>
          <w:sz w:val="32"/>
          <w:szCs w:val="32"/>
        </w:rPr>
        <w:t>194</w:t>
      </w:r>
      <w:r>
        <w:rPr>
          <w:rFonts w:ascii="Times New Roman" w:eastAsia="仿宋_GB2312" w:hAnsi="Times New Roman" w:cs="Times New Roman"/>
          <w:sz w:val="32"/>
          <w:szCs w:val="32"/>
        </w:rPr>
        <w:t>件。苏州知识产权法庭依托</w:t>
      </w:r>
      <w:r>
        <w:rPr>
          <w:rFonts w:ascii="Times New Roman" w:eastAsia="仿宋_GB2312" w:hAnsi="Times New Roman" w:cs="Times New Roman"/>
          <w:sz w:val="32"/>
          <w:szCs w:val="32"/>
        </w:rPr>
        <w:t>“</w:t>
      </w:r>
      <w:r>
        <w:rPr>
          <w:rFonts w:ascii="Times New Roman" w:eastAsia="仿宋_GB2312" w:hAnsi="Times New Roman" w:cs="Times New Roman"/>
          <w:sz w:val="32"/>
          <w:szCs w:val="32"/>
        </w:rPr>
        <w:t>苏知最和合</w:t>
      </w:r>
      <w:r>
        <w:rPr>
          <w:rFonts w:ascii="Times New Roman" w:eastAsia="仿宋_GB2312" w:hAnsi="Times New Roman" w:cs="Times New Roman"/>
          <w:sz w:val="32"/>
          <w:szCs w:val="32"/>
        </w:rPr>
        <w:t>”</w:t>
      </w:r>
      <w:r>
        <w:rPr>
          <w:rFonts w:ascii="Times New Roman" w:eastAsia="仿宋_GB2312" w:hAnsi="Times New Roman" w:cs="Times New Roman"/>
          <w:sz w:val="32"/>
          <w:szCs w:val="32"/>
        </w:rPr>
        <w:t>多元解纷渠道，搭建调解云平台，实质性开展不正当竞争等案件调解工作。在审理涉生物辅酶</w:t>
      </w:r>
      <w:r>
        <w:rPr>
          <w:rFonts w:ascii="Times New Roman" w:eastAsia="仿宋_GB2312" w:hAnsi="Times New Roman" w:cs="Times New Roman"/>
          <w:sz w:val="32"/>
          <w:szCs w:val="32"/>
        </w:rPr>
        <w:t>“</w:t>
      </w:r>
      <w:r>
        <w:rPr>
          <w:rFonts w:ascii="Times New Roman" w:eastAsia="仿宋_GB2312" w:hAnsi="Times New Roman" w:cs="Times New Roman"/>
          <w:sz w:val="32"/>
          <w:szCs w:val="32"/>
        </w:rPr>
        <w:t>卡脖子</w:t>
      </w:r>
      <w:r>
        <w:rPr>
          <w:rFonts w:ascii="Times New Roman" w:eastAsia="仿宋_GB2312" w:hAnsi="Times New Roman" w:cs="Times New Roman"/>
          <w:sz w:val="32"/>
          <w:szCs w:val="32"/>
        </w:rPr>
        <w:t>”</w:t>
      </w:r>
      <w:r>
        <w:rPr>
          <w:rFonts w:ascii="Times New Roman" w:eastAsia="仿宋_GB2312" w:hAnsi="Times New Roman" w:cs="Times New Roman"/>
          <w:sz w:val="32"/>
          <w:szCs w:val="32"/>
        </w:rPr>
        <w:t>技术秘密纠纷案中，组织十余轮调解，最终促成调解协议达成，</w:t>
      </w:r>
      <w:r>
        <w:rPr>
          <w:rFonts w:ascii="Times New Roman" w:eastAsia="仿宋_GB2312" w:hAnsi="Times New Roman" w:cs="Times New Roman"/>
          <w:snapToGrid w:val="0"/>
          <w:spacing w:val="-4"/>
          <w:kern w:val="0"/>
          <w:sz w:val="32"/>
          <w:szCs w:val="32"/>
        </w:rPr>
        <w:t>积极推动国内</w:t>
      </w:r>
      <w:r>
        <w:rPr>
          <w:rFonts w:ascii="Times New Roman" w:eastAsia="仿宋_GB2312" w:hAnsi="Times New Roman" w:cs="Times New Roman"/>
          <w:sz w:val="32"/>
          <w:szCs w:val="32"/>
        </w:rPr>
        <w:t>CoQ10</w:t>
      </w:r>
      <w:r>
        <w:rPr>
          <w:rFonts w:ascii="Times New Roman" w:eastAsia="仿宋_GB2312" w:hAnsi="Times New Roman" w:cs="Times New Roman"/>
          <w:sz w:val="32"/>
          <w:szCs w:val="32"/>
        </w:rPr>
        <w:t>微生物发酵工业化生产，对于改善我国辅酶</w:t>
      </w:r>
      <w:r>
        <w:rPr>
          <w:rFonts w:ascii="Times New Roman" w:eastAsia="仿宋_GB2312" w:hAnsi="Times New Roman" w:cs="Times New Roman"/>
          <w:sz w:val="32"/>
          <w:szCs w:val="32"/>
        </w:rPr>
        <w:t>Q10</w:t>
      </w:r>
      <w:r>
        <w:rPr>
          <w:rFonts w:ascii="Times New Roman" w:eastAsia="仿宋_GB2312" w:hAnsi="Times New Roman" w:cs="Times New Roman"/>
          <w:sz w:val="32"/>
          <w:szCs w:val="32"/>
        </w:rPr>
        <w:t>原料高度依赖进口的现状具有重要意义。无锡、徐州、淮安、镇江、扬州、连云港等法院联合</w:t>
      </w:r>
      <w:r>
        <w:rPr>
          <w:rFonts w:ascii="Times New Roman" w:eastAsia="仿宋_GB2312" w:hAnsi="Times New Roman" w:cs="Times New Roman" w:hint="eastAsia"/>
          <w:sz w:val="32"/>
          <w:szCs w:val="32"/>
        </w:rPr>
        <w:t>相</w:t>
      </w:r>
      <w:r>
        <w:rPr>
          <w:rFonts w:ascii="Times New Roman" w:eastAsia="仿宋_GB2312" w:hAnsi="Times New Roman" w:cs="Times New Roman"/>
          <w:sz w:val="32"/>
          <w:szCs w:val="32"/>
        </w:rPr>
        <w:t>关</w:t>
      </w:r>
      <w:r>
        <w:rPr>
          <w:rFonts w:ascii="Times New Roman" w:eastAsia="仿宋_GB2312" w:hAnsi="Times New Roman" w:cs="Times New Roman" w:hint="eastAsia"/>
          <w:sz w:val="32"/>
          <w:szCs w:val="32"/>
        </w:rPr>
        <w:t>单位</w:t>
      </w:r>
      <w:r>
        <w:rPr>
          <w:rFonts w:ascii="Times New Roman" w:eastAsia="仿宋_GB2312" w:hAnsi="Times New Roman" w:cs="Times New Roman"/>
          <w:sz w:val="32"/>
          <w:szCs w:val="32"/>
        </w:rPr>
        <w:t>制定意见，建立知识产权</w:t>
      </w:r>
      <w:proofErr w:type="gramStart"/>
      <w:r>
        <w:rPr>
          <w:rFonts w:ascii="Times New Roman" w:eastAsia="仿宋_GB2312" w:hAnsi="Times New Roman" w:cs="Times New Roman"/>
          <w:sz w:val="32"/>
          <w:szCs w:val="32"/>
        </w:rPr>
        <w:t>纠纷</w:t>
      </w:r>
      <w:r>
        <w:rPr>
          <w:rFonts w:ascii="Times New Roman" w:eastAsia="仿宋_GB2312" w:hAnsi="Times New Roman" w:cs="Times New Roman"/>
          <w:sz w:val="32"/>
          <w:szCs w:val="32"/>
        </w:rPr>
        <w:lastRenderedPageBreak/>
        <w:t>诉调对接</w:t>
      </w:r>
      <w:proofErr w:type="gramEnd"/>
      <w:r>
        <w:rPr>
          <w:rFonts w:ascii="Times New Roman" w:eastAsia="仿宋_GB2312" w:hAnsi="Times New Roman" w:cs="Times New Roman"/>
          <w:sz w:val="32"/>
          <w:szCs w:val="32"/>
        </w:rPr>
        <w:t>工作机制，积极</w:t>
      </w:r>
      <w:proofErr w:type="gramStart"/>
      <w:r>
        <w:rPr>
          <w:rFonts w:ascii="Times New Roman" w:eastAsia="仿宋_GB2312" w:hAnsiTheme="majorBidi" w:cs="Times New Roman"/>
          <w:sz w:val="32"/>
          <w:szCs w:val="32"/>
        </w:rPr>
        <w:t>开展诉源治理</w:t>
      </w:r>
      <w:proofErr w:type="gramEnd"/>
      <w:r>
        <w:rPr>
          <w:rFonts w:ascii="Times New Roman" w:eastAsia="仿宋_GB2312" w:hAnsiTheme="majorBidi" w:cs="Times New Roman"/>
          <w:sz w:val="32"/>
          <w:szCs w:val="32"/>
        </w:rPr>
        <w:t>。</w:t>
      </w:r>
    </w:p>
    <w:p w:rsidR="00D64D9B" w:rsidRDefault="00D64D9B" w:rsidP="00D64D9B">
      <w:pPr>
        <w:spacing w:line="336" w:lineRule="auto"/>
        <w:ind w:firstLineChars="200" w:firstLine="640"/>
        <w:rPr>
          <w:rFonts w:ascii="Times New Roman" w:eastAsia="黑体" w:hAnsi="Times New Roman" w:cs="Times New Roman"/>
          <w:sz w:val="32"/>
          <w:szCs w:val="32"/>
        </w:rPr>
      </w:pPr>
      <w:r>
        <w:rPr>
          <w:rFonts w:ascii="Times New Roman" w:eastAsia="黑体" w:hAnsi="Times New Roman" w:cs="Times New Roman" w:hint="eastAsia"/>
          <w:sz w:val="32"/>
          <w:szCs w:val="32"/>
        </w:rPr>
        <w:t>三</w:t>
      </w:r>
      <w:r>
        <w:rPr>
          <w:rFonts w:ascii="Times New Roman" w:eastAsia="黑体" w:hAnsi="Times New Roman" w:cs="Times New Roman"/>
          <w:sz w:val="32"/>
          <w:szCs w:val="32"/>
        </w:rPr>
        <w:t>、切实担当作为，营造公平竞争的</w:t>
      </w:r>
      <w:r>
        <w:rPr>
          <w:rFonts w:ascii="Times New Roman" w:eastAsia="黑体" w:hAnsi="Times New Roman" w:cs="Times New Roman" w:hint="eastAsia"/>
          <w:sz w:val="32"/>
          <w:szCs w:val="32"/>
        </w:rPr>
        <w:t>一流营商</w:t>
      </w:r>
      <w:r>
        <w:rPr>
          <w:rFonts w:ascii="Times New Roman" w:eastAsia="黑体" w:hAnsi="Times New Roman" w:cs="Times New Roman"/>
          <w:sz w:val="32"/>
          <w:szCs w:val="32"/>
        </w:rPr>
        <w:t>环境</w:t>
      </w:r>
    </w:p>
    <w:p w:rsidR="00D64D9B" w:rsidRDefault="00D64D9B" w:rsidP="00D64D9B">
      <w:pPr>
        <w:spacing w:line="336" w:lineRule="auto"/>
        <w:ind w:firstLineChars="200" w:firstLine="640"/>
        <w:rPr>
          <w:rFonts w:ascii="Times New Roman" w:eastAsia="仿宋_GB2312" w:hAnsi="Times New Roman" w:cs="Times New Roman"/>
          <w:bCs/>
          <w:sz w:val="32"/>
          <w:szCs w:val="32"/>
        </w:rPr>
      </w:pPr>
      <w:r>
        <w:rPr>
          <w:rFonts w:ascii="Times New Roman" w:eastAsia="楷体" w:hAnsi="Times New Roman" w:cs="Times New Roman"/>
          <w:sz w:val="32"/>
          <w:szCs w:val="32"/>
        </w:rPr>
        <w:t>一是持续推进最严格司法保护，严厉惩治垄断和不正当竞争行为。</w:t>
      </w:r>
      <w:r>
        <w:rPr>
          <w:rFonts w:ascii="Times New Roman" w:eastAsia="仿宋_GB2312" w:hAnsi="Times New Roman" w:cs="Times New Roman"/>
          <w:sz w:val="32"/>
          <w:szCs w:val="32"/>
        </w:rPr>
        <w:t>在全国率先实行最严格知识产权司法保护，制定并积极实施</w:t>
      </w:r>
      <w:r>
        <w:rPr>
          <w:rFonts w:ascii="Times New Roman" w:eastAsia="仿宋_GB2312" w:hAnsi="Times New Roman" w:cs="Times New Roman"/>
          <w:sz w:val="32"/>
          <w:szCs w:val="32"/>
        </w:rPr>
        <w:t>36</w:t>
      </w:r>
      <w:r>
        <w:rPr>
          <w:rFonts w:ascii="Times New Roman" w:eastAsia="仿宋_GB2312" w:hAnsi="Times New Roman" w:cs="Times New Roman"/>
          <w:sz w:val="32"/>
          <w:szCs w:val="32"/>
        </w:rPr>
        <w:t>项具体措施，该项工作获江苏政法工作优秀创新成果特等奖。通过适用惩罚性赔偿、证据披露、举证妨碍、从业禁止令制度、加大判赔力度等，</w:t>
      </w:r>
      <w:r>
        <w:rPr>
          <w:rFonts w:ascii="Times New Roman" w:eastAsia="仿宋_GB2312" w:hAnsiTheme="majorBidi" w:cs="Times New Roman"/>
          <w:sz w:val="32"/>
          <w:szCs w:val="32"/>
        </w:rPr>
        <w:t>加</w:t>
      </w:r>
      <w:r>
        <w:rPr>
          <w:rFonts w:ascii="Times New Roman" w:eastAsia="仿宋_GB2312" w:hAnsiTheme="majorBidi" w:cs="Times New Roman" w:hint="eastAsia"/>
          <w:sz w:val="32"/>
          <w:szCs w:val="32"/>
        </w:rPr>
        <w:t>大</w:t>
      </w:r>
      <w:r>
        <w:rPr>
          <w:rFonts w:ascii="Times New Roman" w:eastAsia="仿宋_GB2312" w:hAnsiTheme="majorBidi" w:cs="Times New Roman"/>
          <w:sz w:val="32"/>
          <w:szCs w:val="32"/>
        </w:rPr>
        <w:t>对垄断和不正当竞争行为的打击</w:t>
      </w:r>
      <w:r>
        <w:rPr>
          <w:rFonts w:ascii="Times New Roman" w:eastAsia="仿宋_GB2312" w:hAnsi="Times New Roman" w:cs="Times New Roman"/>
          <w:sz w:val="32"/>
          <w:szCs w:val="32"/>
        </w:rPr>
        <w:t>。</w:t>
      </w:r>
      <w:r>
        <w:rPr>
          <w:rFonts w:ascii="Times New Roman" w:eastAsia="仿宋_GB2312" w:hAnsi="Times New Roman" w:cs="Times New Roman"/>
          <w:sz w:val="32"/>
          <w:szCs w:val="32"/>
        </w:rPr>
        <w:t>2019</w:t>
      </w:r>
      <w:r>
        <w:rPr>
          <w:rFonts w:ascii="Times New Roman" w:eastAsia="仿宋_GB2312" w:hAnsi="Times New Roman" w:cs="Times New Roman"/>
          <w:sz w:val="32"/>
          <w:szCs w:val="32"/>
        </w:rPr>
        <w:t>年以来，全省法院垄断、不正当竞争案件的判决、调解赔偿额为</w:t>
      </w:r>
      <w:r>
        <w:rPr>
          <w:rFonts w:ascii="Times New Roman" w:eastAsia="仿宋_GB2312" w:hAnsi="Times New Roman" w:cs="Times New Roman"/>
          <w:sz w:val="32"/>
          <w:szCs w:val="32"/>
        </w:rPr>
        <w:t>10.63</w:t>
      </w:r>
      <w:r>
        <w:rPr>
          <w:rFonts w:ascii="Times New Roman" w:eastAsia="仿宋_GB2312" w:hAnsi="Times New Roman" w:cs="Times New Roman"/>
          <w:sz w:val="32"/>
          <w:szCs w:val="32"/>
        </w:rPr>
        <w:t>亿元。审结涉</w:t>
      </w:r>
      <w:r>
        <w:rPr>
          <w:rFonts w:ascii="Times New Roman" w:eastAsia="仿宋_GB2312" w:hAnsi="Times New Roman" w:cs="Times New Roman"/>
          <w:sz w:val="32"/>
          <w:szCs w:val="32"/>
        </w:rPr>
        <w:t>“</w:t>
      </w:r>
      <w:r>
        <w:rPr>
          <w:rFonts w:ascii="Times New Roman" w:eastAsia="仿宋_GB2312" w:hAnsi="Times New Roman" w:cs="Times New Roman"/>
          <w:sz w:val="32"/>
          <w:szCs w:val="32"/>
        </w:rPr>
        <w:t>大自然</w:t>
      </w:r>
      <w:r>
        <w:rPr>
          <w:rFonts w:ascii="Times New Roman" w:eastAsia="仿宋_GB2312" w:hAnsi="Times New Roman" w:cs="Times New Roman"/>
          <w:sz w:val="32"/>
          <w:szCs w:val="32"/>
        </w:rPr>
        <w:t>”</w:t>
      </w:r>
      <w:r>
        <w:rPr>
          <w:rFonts w:ascii="Times New Roman" w:eastAsia="仿宋_GB2312" w:hAnsi="Times New Roman" w:cs="Times New Roman"/>
          <w:sz w:val="32"/>
          <w:szCs w:val="32"/>
        </w:rPr>
        <w:t>地板商标侵权及不正当竞争纠纷案，对于持续恶意抢注、囤积商标，并以特许经营方式扩大侵权规模等行为，依法适用惩罚性赔偿，全额支持权利人</w:t>
      </w:r>
      <w:r>
        <w:rPr>
          <w:rFonts w:ascii="Times New Roman" w:eastAsia="仿宋_GB2312" w:hAnsi="Times New Roman" w:cs="Times New Roman"/>
          <w:sz w:val="32"/>
          <w:szCs w:val="32"/>
        </w:rPr>
        <w:t>1500</w:t>
      </w:r>
      <w:r>
        <w:rPr>
          <w:rFonts w:ascii="Times New Roman" w:eastAsia="仿宋_GB2312" w:hAnsi="Times New Roman" w:cs="Times New Roman"/>
          <w:sz w:val="32"/>
          <w:szCs w:val="32"/>
        </w:rPr>
        <w:t>万元损害赔偿请求。</w:t>
      </w:r>
      <w:r>
        <w:rPr>
          <w:rFonts w:ascii="Times New Roman" w:eastAsia="仿宋_GB2312" w:hAnsiTheme="majorBidi" w:cs="Times New Roman"/>
          <w:sz w:val="32"/>
          <w:szCs w:val="32"/>
        </w:rPr>
        <w:t>在上海邀玩公司等诉菏泽秋生公司等侵害商标权及不正当竞争纠纷案中，针对被告伪造原告公章及国家公文，欺骗网络平台实施侵权的情形，依法适用惩罚性赔偿，全额支持原告</w:t>
      </w:r>
      <w:r>
        <w:rPr>
          <w:rFonts w:ascii="Times New Roman" w:eastAsia="仿宋_GB2312" w:hAnsi="Times New Roman" w:cs="Times New Roman"/>
          <w:sz w:val="32"/>
          <w:szCs w:val="32"/>
        </w:rPr>
        <w:t>300</w:t>
      </w:r>
      <w:r>
        <w:rPr>
          <w:rFonts w:ascii="Times New Roman" w:eastAsia="仿宋_GB2312" w:hAnsiTheme="majorBidi" w:cs="Times New Roman"/>
          <w:sz w:val="32"/>
          <w:szCs w:val="32"/>
        </w:rPr>
        <w:t>万元赔偿请求，并将被告涉嫌伪造国家公文等犯罪线索移送公安机关。</w:t>
      </w:r>
      <w:r>
        <w:rPr>
          <w:rFonts w:ascii="Times New Roman" w:eastAsia="仿宋_GB2312" w:hAnsi="Times New Roman" w:cs="Times New Roman"/>
          <w:sz w:val="32"/>
          <w:szCs w:val="32"/>
        </w:rPr>
        <w:t>一审审结国内首起利用原料药技术实施市场垄断案，依法确认相关公司滥用市场支配地位，判令其赔偿扬子江药业公司损失</w:t>
      </w:r>
      <w:r>
        <w:rPr>
          <w:rFonts w:ascii="Times New Roman" w:eastAsia="仿宋_GB2312" w:hAnsi="Times New Roman" w:cs="Times New Roman"/>
          <w:sz w:val="32"/>
          <w:szCs w:val="32"/>
        </w:rPr>
        <w:t>6800</w:t>
      </w:r>
      <w:r>
        <w:rPr>
          <w:rFonts w:ascii="Times New Roman" w:eastAsia="仿宋_GB2312" w:hAnsi="Times New Roman" w:cs="Times New Roman"/>
          <w:sz w:val="32"/>
          <w:szCs w:val="32"/>
        </w:rPr>
        <w:t>余万元，维护医药市场秩序，促进企业新药技术研发。</w:t>
      </w:r>
    </w:p>
    <w:p w:rsidR="00D64D9B" w:rsidRDefault="00D64D9B" w:rsidP="00D64D9B">
      <w:pPr>
        <w:spacing w:line="336" w:lineRule="auto"/>
        <w:ind w:firstLineChars="200" w:firstLine="640"/>
        <w:rPr>
          <w:rFonts w:ascii="Times New Roman" w:eastAsia="仿宋_GB2312" w:hAnsi="Times New Roman" w:cs="Times New Roman"/>
          <w:kern w:val="0"/>
          <w:sz w:val="32"/>
          <w:szCs w:val="32"/>
          <w:lang w:val="zh-CN"/>
        </w:rPr>
      </w:pPr>
      <w:r>
        <w:rPr>
          <w:rFonts w:ascii="Times New Roman" w:eastAsia="楷体" w:hAnsi="Times New Roman" w:cs="Times New Roman"/>
          <w:sz w:val="32"/>
          <w:szCs w:val="32"/>
        </w:rPr>
        <w:t>二是加强知名商业标识保护，有效制止仿冒混淆、虚假宣传、诋毁商誉等行为。</w:t>
      </w:r>
      <w:r>
        <w:rPr>
          <w:rFonts w:ascii="Times New Roman" w:eastAsia="仿宋_GB2312" w:hAnsi="Times New Roman" w:cs="Times New Roman"/>
          <w:sz w:val="32"/>
          <w:szCs w:val="32"/>
        </w:rPr>
        <w:t>加强对有一定影响的企业名称、商品名称、包装装潢、姓名等保护，严厉打击恶意攀附知名品牌、攫取他人商誉的行为，推动品牌战略实施与诚信经营。在涉</w:t>
      </w:r>
      <w:r>
        <w:rPr>
          <w:rFonts w:ascii="Times New Roman" w:eastAsia="仿宋_GB2312" w:hAnsi="Times New Roman" w:cs="Times New Roman"/>
          <w:sz w:val="32"/>
          <w:szCs w:val="32"/>
        </w:rPr>
        <w:t>“</w:t>
      </w:r>
      <w:r>
        <w:rPr>
          <w:rFonts w:ascii="Times New Roman" w:eastAsia="仿宋_GB2312" w:hAnsi="Times New Roman" w:cs="Times New Roman"/>
          <w:sz w:val="32"/>
          <w:szCs w:val="32"/>
        </w:rPr>
        <w:t>小米</w:t>
      </w:r>
      <w:r>
        <w:rPr>
          <w:rFonts w:ascii="Times New Roman" w:eastAsia="仿宋_GB2312" w:hAnsi="Times New Roman" w:cs="Times New Roman"/>
          <w:sz w:val="32"/>
          <w:szCs w:val="32"/>
        </w:rPr>
        <w:t>”</w:t>
      </w:r>
      <w:r>
        <w:rPr>
          <w:rFonts w:ascii="Times New Roman" w:eastAsia="仿宋_GB2312" w:hAnsi="Times New Roman" w:cs="Times New Roman"/>
          <w:sz w:val="32"/>
          <w:szCs w:val="32"/>
        </w:rPr>
        <w:t>商标侵权</w:t>
      </w:r>
      <w:r>
        <w:rPr>
          <w:rFonts w:ascii="Times New Roman" w:eastAsia="仿宋_GB2312" w:hAnsi="Times New Roman" w:cs="Times New Roman"/>
          <w:sz w:val="32"/>
          <w:szCs w:val="32"/>
        </w:rPr>
        <w:lastRenderedPageBreak/>
        <w:t>及不正当竞争纠纷案中，依法适用惩罚性赔偿，判决被告赔偿</w:t>
      </w:r>
      <w:r>
        <w:rPr>
          <w:rFonts w:ascii="Times New Roman" w:eastAsia="仿宋_GB2312" w:hAnsi="Times New Roman" w:cs="Times New Roman"/>
          <w:sz w:val="32"/>
          <w:szCs w:val="32"/>
        </w:rPr>
        <w:t>5000</w:t>
      </w:r>
      <w:r>
        <w:rPr>
          <w:rFonts w:ascii="Times New Roman" w:eastAsia="仿宋_GB2312" w:hAnsi="Times New Roman" w:cs="Times New Roman"/>
          <w:sz w:val="32"/>
          <w:szCs w:val="32"/>
        </w:rPr>
        <w:t>万元，入选最高法院适用惩罚性赔偿典型案例和</w:t>
      </w:r>
      <w:r>
        <w:rPr>
          <w:rFonts w:ascii="Times New Roman" w:eastAsia="仿宋_GB2312" w:hAnsi="Times New Roman" w:cs="Times New Roman"/>
          <w:sz w:val="32"/>
          <w:szCs w:val="32"/>
        </w:rPr>
        <w:t>“2019</w:t>
      </w:r>
      <w:r>
        <w:rPr>
          <w:rFonts w:ascii="Times New Roman" w:eastAsia="仿宋_GB2312" w:hAnsi="Times New Roman" w:cs="Times New Roman"/>
          <w:sz w:val="32"/>
          <w:szCs w:val="32"/>
        </w:rPr>
        <w:t>年中国十大最具研究价值知识产权裁判案例</w:t>
      </w:r>
      <w:r>
        <w:rPr>
          <w:rFonts w:ascii="Times New Roman" w:eastAsia="仿宋_GB2312" w:hAnsi="Times New Roman" w:cs="Times New Roman"/>
          <w:sz w:val="32"/>
          <w:szCs w:val="32"/>
        </w:rPr>
        <w:t>”</w:t>
      </w:r>
      <w:r>
        <w:rPr>
          <w:rFonts w:ascii="Times New Roman" w:eastAsia="仿宋_GB2312" w:hAnsi="Times New Roman" w:cs="Times New Roman"/>
          <w:sz w:val="32"/>
          <w:szCs w:val="32"/>
        </w:rPr>
        <w:t>。审结涉</w:t>
      </w:r>
      <w:r>
        <w:rPr>
          <w:rFonts w:ascii="Times New Roman" w:eastAsia="仿宋_GB2312" w:hAnsi="Times New Roman" w:cs="Times New Roman"/>
          <w:sz w:val="32"/>
          <w:szCs w:val="32"/>
        </w:rPr>
        <w:t>“</w:t>
      </w:r>
      <w:r>
        <w:rPr>
          <w:rFonts w:ascii="Times New Roman" w:eastAsia="仿宋_GB2312" w:hAnsi="Times New Roman" w:cs="Times New Roman"/>
          <w:sz w:val="32"/>
          <w:szCs w:val="32"/>
        </w:rPr>
        <w:t>红蚂蚁</w:t>
      </w:r>
      <w:r>
        <w:rPr>
          <w:rFonts w:ascii="Times New Roman" w:eastAsia="仿宋_GB2312" w:hAnsi="Times New Roman" w:cs="Times New Roman"/>
          <w:sz w:val="32"/>
          <w:szCs w:val="32"/>
        </w:rPr>
        <w:t>”</w:t>
      </w:r>
      <w:r>
        <w:rPr>
          <w:rFonts w:ascii="Times New Roman" w:eastAsia="仿宋_GB2312" w:hAnsi="Times New Roman" w:cs="Times New Roman"/>
          <w:sz w:val="32"/>
          <w:szCs w:val="32"/>
        </w:rPr>
        <w:t>商标侵权及不正当竞争案，针对侵权人长期突出使用字号、</w:t>
      </w:r>
      <w:r>
        <w:rPr>
          <w:rFonts w:ascii="Times New Roman" w:eastAsia="仿宋_GB2312" w:hAnsi="Times New Roman" w:cs="Times New Roman" w:hint="eastAsia"/>
          <w:sz w:val="32"/>
          <w:szCs w:val="32"/>
        </w:rPr>
        <w:t>已被</w:t>
      </w:r>
      <w:r>
        <w:rPr>
          <w:rFonts w:ascii="Times New Roman" w:eastAsia="仿宋_GB2312" w:hAnsi="Times New Roman" w:cs="Times New Roman"/>
          <w:sz w:val="32"/>
          <w:szCs w:val="32"/>
        </w:rPr>
        <w:t>江浙沪等地</w:t>
      </w:r>
      <w:r>
        <w:rPr>
          <w:rFonts w:ascii="Times New Roman" w:eastAsia="仿宋_GB2312" w:hAnsi="Times New Roman" w:cs="Times New Roman"/>
          <w:kern w:val="0"/>
          <w:sz w:val="32"/>
          <w:szCs w:val="32"/>
        </w:rPr>
        <w:t>法院</w:t>
      </w:r>
      <w:r>
        <w:rPr>
          <w:rFonts w:ascii="Times New Roman" w:eastAsia="仿宋_GB2312" w:hAnsi="Times New Roman" w:cs="Times New Roman"/>
          <w:kern w:val="0"/>
          <w:sz w:val="32"/>
          <w:szCs w:val="32"/>
        </w:rPr>
        <w:t>19</w:t>
      </w:r>
      <w:r>
        <w:rPr>
          <w:rFonts w:ascii="Times New Roman" w:eastAsia="仿宋_GB2312" w:hAnsi="Times New Roman" w:cs="Times New Roman"/>
          <w:kern w:val="0"/>
          <w:sz w:val="32"/>
          <w:szCs w:val="32"/>
        </w:rPr>
        <w:t>起案件</w:t>
      </w:r>
      <w:r>
        <w:rPr>
          <w:rFonts w:ascii="Times New Roman" w:eastAsia="仿宋_GB2312" w:hAnsi="Times New Roman" w:cs="Times New Roman"/>
          <w:kern w:val="0"/>
          <w:sz w:val="32"/>
          <w:szCs w:val="32"/>
        </w:rPr>
        <w:t>37</w:t>
      </w:r>
      <w:r>
        <w:rPr>
          <w:rFonts w:ascii="Times New Roman" w:eastAsia="仿宋_GB2312" w:hAnsi="Times New Roman" w:cs="Times New Roman"/>
          <w:kern w:val="0"/>
          <w:sz w:val="32"/>
          <w:szCs w:val="32"/>
        </w:rPr>
        <w:t>份裁判责令其停止突出使用</w:t>
      </w:r>
      <w:r>
        <w:rPr>
          <w:rFonts w:ascii="Times New Roman" w:eastAsia="仿宋_GB2312" w:hAnsi="Times New Roman" w:cs="Times New Roman" w:hint="eastAsia"/>
          <w:kern w:val="0"/>
          <w:sz w:val="32"/>
          <w:szCs w:val="32"/>
        </w:rPr>
        <w:t>，仍然</w:t>
      </w:r>
      <w:r>
        <w:rPr>
          <w:rFonts w:ascii="Times New Roman" w:eastAsia="仿宋_GB2312" w:hAnsi="Times New Roman" w:cs="Times New Roman"/>
          <w:kern w:val="0"/>
          <w:sz w:val="32"/>
          <w:szCs w:val="32"/>
        </w:rPr>
        <w:t>得不到履行的情况下，直接判令侵权人变更</w:t>
      </w:r>
      <w:r>
        <w:rPr>
          <w:rFonts w:ascii="Times New Roman" w:eastAsia="仿宋_GB2312" w:hAnsi="Times New Roman" w:cs="Times New Roman"/>
          <w:kern w:val="0"/>
          <w:sz w:val="32"/>
          <w:szCs w:val="32"/>
          <w:lang w:val="zh-CN"/>
        </w:rPr>
        <w:t>字号</w:t>
      </w:r>
      <w:r>
        <w:rPr>
          <w:rFonts w:ascii="Times New Roman" w:eastAsia="仿宋_GB2312" w:hAnsi="Times New Roman" w:cs="Times New Roman"/>
          <w:kern w:val="0"/>
          <w:sz w:val="32"/>
          <w:szCs w:val="32"/>
        </w:rPr>
        <w:t>并</w:t>
      </w:r>
      <w:r>
        <w:rPr>
          <w:rFonts w:ascii="Times New Roman" w:eastAsia="仿宋_GB2312" w:hAnsi="Times New Roman" w:cs="Times New Roman"/>
          <w:kern w:val="0"/>
          <w:sz w:val="32"/>
          <w:szCs w:val="32"/>
          <w:lang w:val="zh-CN"/>
        </w:rPr>
        <w:t>消除影响，严厉打击</w:t>
      </w:r>
      <w:r>
        <w:rPr>
          <w:rFonts w:ascii="Times New Roman" w:eastAsia="仿宋_GB2312" w:hAnsi="Times New Roman" w:cs="Times New Roman"/>
          <w:kern w:val="0"/>
          <w:sz w:val="32"/>
          <w:szCs w:val="32"/>
        </w:rPr>
        <w:t>严重违背诚信原则的</w:t>
      </w:r>
      <w:r>
        <w:rPr>
          <w:rFonts w:ascii="Times New Roman" w:eastAsia="仿宋_GB2312" w:hAnsi="Times New Roman" w:cs="Times New Roman"/>
          <w:kern w:val="0"/>
          <w:sz w:val="32"/>
          <w:szCs w:val="32"/>
          <w:lang w:val="zh-CN"/>
        </w:rPr>
        <w:t>持续侵权行为，</w:t>
      </w:r>
      <w:r>
        <w:rPr>
          <w:rFonts w:ascii="Times New Roman" w:eastAsia="仿宋_GB2312" w:hAnsi="Times New Roman" w:cs="Times New Roman"/>
          <w:kern w:val="0"/>
          <w:sz w:val="32"/>
          <w:szCs w:val="32"/>
        </w:rPr>
        <w:t>取得较好</w:t>
      </w:r>
      <w:r>
        <w:rPr>
          <w:rFonts w:ascii="Times New Roman" w:eastAsia="仿宋_GB2312" w:hAnsi="Times New Roman" w:cs="Times New Roman"/>
          <w:kern w:val="0"/>
          <w:sz w:val="32"/>
          <w:szCs w:val="32"/>
          <w:lang w:val="zh-CN"/>
        </w:rPr>
        <w:t>的法律效果和社会效果。</w:t>
      </w:r>
    </w:p>
    <w:p w:rsidR="00D64D9B" w:rsidRDefault="00D64D9B" w:rsidP="00D64D9B">
      <w:pPr>
        <w:spacing w:line="336" w:lineRule="auto"/>
        <w:ind w:firstLineChars="200" w:firstLine="640"/>
        <w:rPr>
          <w:rFonts w:ascii="Times New Roman" w:eastAsia="仿宋_GB2312" w:hAnsi="Times New Roman" w:cs="Times New Roman"/>
          <w:sz w:val="32"/>
          <w:szCs w:val="32"/>
        </w:rPr>
      </w:pPr>
      <w:r>
        <w:rPr>
          <w:rFonts w:ascii="Times New Roman" w:eastAsia="楷体" w:hAnsi="Times New Roman" w:cs="Times New Roman"/>
          <w:sz w:val="32"/>
          <w:szCs w:val="32"/>
        </w:rPr>
        <w:t>三是加强商业秘密保护，大力激发创新创业活力。</w:t>
      </w:r>
      <w:r>
        <w:rPr>
          <w:rFonts w:ascii="Times New Roman" w:eastAsia="仿宋_GB2312" w:hAnsi="Times New Roman" w:cs="Times New Roman"/>
          <w:sz w:val="32"/>
          <w:szCs w:val="32"/>
        </w:rPr>
        <w:t>依法打击侵害技术秘密和经营信息行为，增强企业创新创业安全感、获得感。妥善处理员工跳槽、科技成果归属等纠纷，实现对发明人和企业创新的双向</w:t>
      </w:r>
      <w:r w:rsidR="00864F63">
        <w:rPr>
          <w:rFonts w:ascii="Times New Roman" w:eastAsia="仿宋_GB2312" w:hAnsi="Times New Roman" w:cs="Times New Roman" w:hint="eastAsia"/>
          <w:sz w:val="32"/>
          <w:szCs w:val="32"/>
        </w:rPr>
        <w:t>保护</w:t>
      </w:r>
      <w:r w:rsidR="00864F63">
        <w:rPr>
          <w:rFonts w:ascii="Times New Roman" w:eastAsia="仿宋_GB2312" w:hAnsi="Times New Roman" w:cs="Times New Roman"/>
          <w:sz w:val="32"/>
          <w:szCs w:val="32"/>
        </w:rPr>
        <w:t>和</w:t>
      </w:r>
      <w:r>
        <w:rPr>
          <w:rFonts w:ascii="Times New Roman" w:eastAsia="仿宋_GB2312" w:hAnsi="Times New Roman" w:cs="Times New Roman"/>
          <w:sz w:val="32"/>
          <w:szCs w:val="32"/>
        </w:rPr>
        <w:t>激励，推动创新人才依法有序流动。</w:t>
      </w:r>
      <w:r>
        <w:rPr>
          <w:rFonts w:ascii="Times New Roman" w:eastAsia="仿宋_GB2312" w:hAnsi="Times New Roman" w:cs="Times New Roman"/>
          <w:sz w:val="32"/>
          <w:szCs w:val="32"/>
        </w:rPr>
        <w:t>2019</w:t>
      </w:r>
      <w:r>
        <w:rPr>
          <w:rFonts w:ascii="Times New Roman" w:eastAsia="仿宋_GB2312" w:hAnsi="Times New Roman" w:cs="Times New Roman"/>
          <w:sz w:val="32"/>
          <w:szCs w:val="32"/>
        </w:rPr>
        <w:t>年以来，审结侵害商业秘密纠纷</w:t>
      </w:r>
      <w:r>
        <w:rPr>
          <w:rFonts w:ascii="Times New Roman" w:eastAsia="仿宋_GB2312" w:hAnsi="Times New Roman" w:cs="Times New Roman"/>
          <w:sz w:val="32"/>
          <w:szCs w:val="32"/>
        </w:rPr>
        <w:t>265</w:t>
      </w:r>
      <w:r>
        <w:rPr>
          <w:rFonts w:ascii="Times New Roman" w:eastAsia="仿宋_GB2312" w:hAnsi="Times New Roman" w:cs="Times New Roman"/>
          <w:sz w:val="32"/>
          <w:szCs w:val="32"/>
        </w:rPr>
        <w:t>件，占不正当竞争纠纷</w:t>
      </w:r>
      <w:r>
        <w:rPr>
          <w:rFonts w:ascii="Times New Roman" w:eastAsia="仿宋_GB2312" w:hAnsi="Times New Roman" w:cs="Times New Roman"/>
          <w:sz w:val="32"/>
          <w:szCs w:val="32"/>
        </w:rPr>
        <w:t>18.20%</w:t>
      </w:r>
      <w:r>
        <w:rPr>
          <w:rFonts w:ascii="Times New Roman" w:eastAsia="仿宋_GB2312" w:hAnsi="Times New Roman" w:cs="Times New Roman"/>
          <w:sz w:val="32"/>
          <w:szCs w:val="32"/>
        </w:rPr>
        <w:t>。</w:t>
      </w:r>
      <w:proofErr w:type="gramStart"/>
      <w:r>
        <w:rPr>
          <w:rFonts w:ascii="Times New Roman" w:eastAsia="仿宋_GB2312" w:hAnsi="Times New Roman" w:cs="Times New Roman"/>
          <w:sz w:val="32"/>
          <w:szCs w:val="32"/>
        </w:rPr>
        <w:t>审结圣奥公司</w:t>
      </w:r>
      <w:proofErr w:type="gramEnd"/>
      <w:r>
        <w:rPr>
          <w:rFonts w:ascii="Times New Roman" w:eastAsia="仿宋_GB2312" w:hAnsi="Times New Roman" w:cs="Times New Roman"/>
          <w:sz w:val="32"/>
          <w:szCs w:val="32"/>
        </w:rPr>
        <w:t>诉陈永刚、晋腾公司等侵害技术秘密纠纷案，判决窃取橡胶防老剂技术秘密的侵权人连带赔偿权利人</w:t>
      </w:r>
      <w:r>
        <w:rPr>
          <w:rFonts w:ascii="Times New Roman" w:eastAsia="仿宋_GB2312" w:hAnsi="Times New Roman" w:cs="Times New Roman"/>
          <w:sz w:val="32"/>
          <w:szCs w:val="32"/>
        </w:rPr>
        <w:t>2</w:t>
      </w:r>
      <w:r>
        <w:rPr>
          <w:rFonts w:ascii="Times New Roman" w:eastAsia="仿宋_GB2312" w:hAnsi="Times New Roman" w:cs="Times New Roman"/>
          <w:sz w:val="32"/>
          <w:szCs w:val="32"/>
        </w:rPr>
        <w:t>亿多元，并在一审判决后作出行为保全裁定，有力保护</w:t>
      </w:r>
      <w:proofErr w:type="gramStart"/>
      <w:r>
        <w:rPr>
          <w:rFonts w:ascii="Times New Roman" w:eastAsia="仿宋_GB2312" w:hAnsi="Times New Roman" w:cs="Times New Roman"/>
          <w:sz w:val="32"/>
          <w:szCs w:val="32"/>
        </w:rPr>
        <w:t>了圣奥公司</w:t>
      </w:r>
      <w:proofErr w:type="gramEnd"/>
      <w:r>
        <w:rPr>
          <w:rFonts w:ascii="Times New Roman" w:eastAsia="仿宋_GB2312" w:hAnsi="Times New Roman" w:cs="Times New Roman"/>
          <w:sz w:val="32"/>
          <w:szCs w:val="32"/>
        </w:rPr>
        <w:t>世界领先的橡胶防老剂技术，有效维护了企业核心竞争力。审结因竞争对手</w:t>
      </w:r>
      <w:r>
        <w:rPr>
          <w:rFonts w:ascii="Times New Roman" w:eastAsia="仿宋_GB2312" w:hAnsi="Times New Roman" w:cs="Times New Roman"/>
          <w:sz w:val="32"/>
          <w:szCs w:val="32"/>
        </w:rPr>
        <w:t>“</w:t>
      </w:r>
      <w:r>
        <w:rPr>
          <w:rFonts w:ascii="Times New Roman" w:eastAsia="仿宋_GB2312" w:hAnsi="Times New Roman" w:cs="Times New Roman"/>
          <w:sz w:val="32"/>
          <w:szCs w:val="32"/>
        </w:rPr>
        <w:t>挖墙脚</w:t>
      </w:r>
      <w:r>
        <w:rPr>
          <w:rFonts w:ascii="Times New Roman" w:eastAsia="仿宋_GB2312" w:hAnsi="Times New Roman" w:cs="Times New Roman"/>
          <w:sz w:val="32"/>
          <w:szCs w:val="32"/>
        </w:rPr>
        <w:t>”</w:t>
      </w:r>
      <w:r>
        <w:rPr>
          <w:rFonts w:ascii="Times New Roman" w:eastAsia="仿宋_GB2312" w:hAnsi="Times New Roman" w:cs="Times New Roman"/>
          <w:sz w:val="32"/>
          <w:szCs w:val="32"/>
        </w:rPr>
        <w:t>侵害江南环保公司核心技术秘密案，依法全额支持</w:t>
      </w:r>
      <w:r>
        <w:rPr>
          <w:rFonts w:ascii="Times New Roman" w:eastAsia="仿宋_GB2312" w:hAnsi="Times New Roman" w:cs="Times New Roman"/>
          <w:sz w:val="32"/>
          <w:szCs w:val="32"/>
        </w:rPr>
        <w:t>9600</w:t>
      </w:r>
      <w:r>
        <w:rPr>
          <w:rFonts w:ascii="Times New Roman" w:eastAsia="仿宋_GB2312" w:hAnsi="Times New Roman" w:cs="Times New Roman"/>
          <w:sz w:val="32"/>
          <w:szCs w:val="32"/>
        </w:rPr>
        <w:t>万元赔偿请求，最大力度保护企业创新技术。加强诉讼阶段商业秘密保护，综合运用保密承诺、文书隐去</w:t>
      </w:r>
      <w:r>
        <w:rPr>
          <w:rFonts w:ascii="Times New Roman" w:eastAsia="仿宋_GB2312" w:hAnsi="Times New Roman" w:cs="Times New Roman"/>
          <w:sz w:val="32"/>
          <w:szCs w:val="32"/>
        </w:rPr>
        <w:t>“</w:t>
      </w:r>
      <w:r>
        <w:rPr>
          <w:rFonts w:ascii="Times New Roman" w:eastAsia="仿宋_GB2312" w:hAnsi="Times New Roman" w:cs="Times New Roman"/>
          <w:sz w:val="32"/>
          <w:szCs w:val="32"/>
        </w:rPr>
        <w:t>秘密点</w:t>
      </w:r>
      <w:r>
        <w:rPr>
          <w:rFonts w:ascii="Times New Roman" w:eastAsia="仿宋_GB2312" w:hAnsi="Times New Roman" w:cs="Times New Roman"/>
          <w:sz w:val="32"/>
          <w:szCs w:val="32"/>
        </w:rPr>
        <w:t>”</w:t>
      </w:r>
      <w:r>
        <w:rPr>
          <w:rFonts w:ascii="Times New Roman" w:eastAsia="仿宋_GB2312" w:hAnsi="Times New Roman" w:cs="Times New Roman"/>
          <w:sz w:val="32"/>
          <w:szCs w:val="32"/>
        </w:rPr>
        <w:t>、优化质证方式等措施，有效防范二次泄密。</w:t>
      </w:r>
    </w:p>
    <w:p w:rsidR="00D64D9B" w:rsidRDefault="00D64D9B" w:rsidP="00D64D9B">
      <w:pPr>
        <w:spacing w:line="336" w:lineRule="auto"/>
        <w:ind w:firstLineChars="221" w:firstLine="707"/>
        <w:rPr>
          <w:rFonts w:ascii="Times New Roman" w:eastAsia="仿宋_GB2312" w:hAnsi="Times New Roman" w:cs="Times New Roman"/>
          <w:sz w:val="32"/>
          <w:szCs w:val="32"/>
        </w:rPr>
      </w:pPr>
      <w:r>
        <w:rPr>
          <w:rFonts w:ascii="Times New Roman" w:eastAsia="楷体" w:hAnsi="Times New Roman" w:cs="Times New Roman"/>
          <w:sz w:val="32"/>
          <w:szCs w:val="32"/>
        </w:rPr>
        <w:t>四是加强网络不正当竞争行为规制，积极营造开放、健康、安全的数字生态。</w:t>
      </w:r>
      <w:r>
        <w:rPr>
          <w:rFonts w:ascii="Times New Roman" w:eastAsia="仿宋_GB2312" w:hAnsi="Times New Roman" w:cs="Times New Roman"/>
          <w:sz w:val="32"/>
          <w:szCs w:val="32"/>
        </w:rPr>
        <w:t>妥善审理涉互联网、大数据、人工智能等新</w:t>
      </w:r>
      <w:proofErr w:type="gramStart"/>
      <w:r>
        <w:rPr>
          <w:rFonts w:ascii="Times New Roman" w:eastAsia="仿宋_GB2312" w:hAnsi="Times New Roman" w:cs="Times New Roman"/>
          <w:sz w:val="32"/>
          <w:szCs w:val="32"/>
        </w:rPr>
        <w:t>业</w:t>
      </w:r>
      <w:r>
        <w:rPr>
          <w:rFonts w:ascii="Times New Roman" w:eastAsia="仿宋_GB2312" w:hAnsi="Times New Roman" w:cs="Times New Roman"/>
          <w:sz w:val="32"/>
          <w:szCs w:val="32"/>
        </w:rPr>
        <w:lastRenderedPageBreak/>
        <w:t>态新领域</w:t>
      </w:r>
      <w:proofErr w:type="gramEnd"/>
      <w:r>
        <w:rPr>
          <w:rFonts w:ascii="Times New Roman" w:eastAsia="仿宋_GB2312" w:hAnsi="Times New Roman" w:cs="Times New Roman"/>
          <w:sz w:val="32"/>
          <w:szCs w:val="32"/>
        </w:rPr>
        <w:t>垄断、不正当竞争案件，依法惩治违背诚信原则和商业道德的网络服务行为，保护公众知情权和选择权，为市场经营提供明确可预期指引，推动数字经济规范健康发展。审结涉</w:t>
      </w:r>
      <w:r>
        <w:rPr>
          <w:rFonts w:ascii="Times New Roman" w:eastAsia="仿宋_GB2312" w:hAnsi="Times New Roman" w:cs="Times New Roman"/>
          <w:sz w:val="32"/>
          <w:szCs w:val="32"/>
        </w:rPr>
        <w:t>“</w:t>
      </w:r>
      <w:r>
        <w:rPr>
          <w:rFonts w:ascii="Times New Roman" w:eastAsia="仿宋_GB2312" w:hAnsi="Times New Roman" w:cs="Times New Roman"/>
          <w:sz w:val="32"/>
          <w:szCs w:val="32"/>
        </w:rPr>
        <w:t>美团</w:t>
      </w:r>
      <w:r>
        <w:rPr>
          <w:rFonts w:ascii="Times New Roman" w:eastAsia="仿宋_GB2312" w:hAnsi="Times New Roman" w:cs="Times New Roman"/>
          <w:sz w:val="32"/>
          <w:szCs w:val="32"/>
        </w:rPr>
        <w:t>”“</w:t>
      </w:r>
      <w:r>
        <w:rPr>
          <w:rFonts w:ascii="Times New Roman" w:eastAsia="仿宋_GB2312" w:hAnsi="Times New Roman" w:cs="Times New Roman"/>
          <w:sz w:val="32"/>
          <w:szCs w:val="32"/>
        </w:rPr>
        <w:t>饿了么</w:t>
      </w:r>
      <w:r>
        <w:rPr>
          <w:rFonts w:ascii="Times New Roman" w:eastAsia="仿宋_GB2312" w:hAnsi="Times New Roman" w:cs="Times New Roman"/>
          <w:sz w:val="32"/>
          <w:szCs w:val="32"/>
        </w:rPr>
        <w:t>”</w:t>
      </w:r>
      <w:r>
        <w:rPr>
          <w:rFonts w:ascii="Times New Roman" w:eastAsia="仿宋_GB2312" w:hAnsi="Times New Roman" w:cs="Times New Roman"/>
          <w:sz w:val="32"/>
          <w:szCs w:val="32"/>
        </w:rPr>
        <w:t>外卖平台强制</w:t>
      </w:r>
      <w:r>
        <w:rPr>
          <w:rFonts w:ascii="Times New Roman" w:eastAsia="仿宋_GB2312" w:hAnsi="Times New Roman" w:cs="Times New Roman"/>
          <w:sz w:val="32"/>
          <w:szCs w:val="32"/>
        </w:rPr>
        <w:t>“</w:t>
      </w:r>
      <w:r>
        <w:rPr>
          <w:rFonts w:ascii="Times New Roman" w:eastAsia="仿宋_GB2312" w:hAnsi="Times New Roman" w:cs="Times New Roman"/>
          <w:sz w:val="32"/>
          <w:szCs w:val="32"/>
        </w:rPr>
        <w:t>二选一</w:t>
      </w:r>
      <w:r>
        <w:rPr>
          <w:rFonts w:ascii="Times New Roman" w:eastAsia="仿宋_GB2312" w:hAnsi="Times New Roman" w:cs="Times New Roman"/>
          <w:sz w:val="32"/>
          <w:szCs w:val="32"/>
        </w:rPr>
        <w:t>”</w:t>
      </w:r>
      <w:r>
        <w:rPr>
          <w:rFonts w:ascii="Times New Roman" w:eastAsia="仿宋_GB2312" w:hAnsi="Times New Roman" w:cs="Times New Roman"/>
          <w:sz w:val="32"/>
          <w:szCs w:val="32"/>
        </w:rPr>
        <w:t>案，依法惩治平台运营方以提高费率、</w:t>
      </w:r>
      <w:proofErr w:type="gramStart"/>
      <w:r>
        <w:rPr>
          <w:rFonts w:ascii="Times New Roman" w:eastAsia="仿宋_GB2312" w:hAnsi="Times New Roman" w:cs="Times New Roman"/>
          <w:sz w:val="32"/>
          <w:szCs w:val="32"/>
        </w:rPr>
        <w:t>置休服务</w:t>
      </w:r>
      <w:proofErr w:type="gramEnd"/>
      <w:r>
        <w:rPr>
          <w:rFonts w:ascii="Times New Roman" w:eastAsia="仿宋_GB2312" w:hAnsi="Times New Roman" w:cs="Times New Roman"/>
          <w:sz w:val="32"/>
          <w:szCs w:val="32"/>
        </w:rPr>
        <w:t>等手段阻碍商户与其他平台合作的恶意竞争行为，保护中小</w:t>
      </w:r>
      <w:proofErr w:type="gramStart"/>
      <w:r>
        <w:rPr>
          <w:rFonts w:ascii="Times New Roman" w:eastAsia="仿宋_GB2312" w:hAnsi="Times New Roman" w:cs="Times New Roman"/>
          <w:sz w:val="32"/>
          <w:szCs w:val="32"/>
        </w:rPr>
        <w:t>微企业</w:t>
      </w:r>
      <w:proofErr w:type="gramEnd"/>
      <w:r>
        <w:rPr>
          <w:rFonts w:ascii="Times New Roman" w:eastAsia="仿宋_GB2312" w:hAnsi="Times New Roman" w:cs="Times New Roman"/>
          <w:sz w:val="32"/>
          <w:szCs w:val="32"/>
        </w:rPr>
        <w:t>生存发展空间</w:t>
      </w:r>
      <w:r>
        <w:rPr>
          <w:rFonts w:ascii="Times New Roman" w:eastAsia="仿宋_GB2312" w:hAnsi="Times New Roman" w:cs="Times New Roman" w:hint="eastAsia"/>
          <w:sz w:val="32"/>
          <w:szCs w:val="32"/>
        </w:rPr>
        <w:t>，</w:t>
      </w:r>
      <w:r>
        <w:rPr>
          <w:rFonts w:ascii="Times New Roman" w:eastAsia="仿宋_GB2312" w:hAnsi="Times New Roman" w:cs="Times New Roman"/>
          <w:sz w:val="32"/>
          <w:szCs w:val="32"/>
        </w:rPr>
        <w:t>入选</w:t>
      </w:r>
      <w:r>
        <w:rPr>
          <w:rFonts w:ascii="Times New Roman" w:eastAsia="仿宋_GB2312" w:hAnsi="Times New Roman" w:cs="Times New Roman"/>
          <w:sz w:val="32"/>
          <w:szCs w:val="32"/>
        </w:rPr>
        <w:t>2021</w:t>
      </w:r>
      <w:r>
        <w:rPr>
          <w:rFonts w:ascii="Times New Roman" w:eastAsia="仿宋_GB2312" w:hAnsi="Times New Roman" w:cs="Times New Roman"/>
          <w:sz w:val="32"/>
          <w:szCs w:val="32"/>
        </w:rPr>
        <w:t>年江苏省知识产权十大典型案件和江苏法院十大典型案例。审结全国首例</w:t>
      </w:r>
      <w:proofErr w:type="gramStart"/>
      <w:r>
        <w:rPr>
          <w:rFonts w:ascii="Times New Roman" w:eastAsia="仿宋_GB2312" w:hAnsi="Times New Roman" w:cs="Times New Roman"/>
          <w:sz w:val="32"/>
          <w:szCs w:val="32"/>
        </w:rPr>
        <w:t>微信账号</w:t>
      </w:r>
      <w:proofErr w:type="gramEnd"/>
      <w:r>
        <w:rPr>
          <w:rFonts w:ascii="Times New Roman" w:eastAsia="仿宋_GB2312" w:hAnsi="Times New Roman" w:cs="Times New Roman"/>
          <w:sz w:val="32"/>
          <w:szCs w:val="32"/>
        </w:rPr>
        <w:t>交易不正当竞争纠纷案，依法认定被告为</w:t>
      </w:r>
      <w:proofErr w:type="gramStart"/>
      <w:r>
        <w:rPr>
          <w:rFonts w:ascii="Times New Roman" w:eastAsia="仿宋_GB2312" w:hAnsi="Times New Roman" w:cs="Times New Roman"/>
          <w:sz w:val="32"/>
          <w:szCs w:val="32"/>
        </w:rPr>
        <w:t>微信账号</w:t>
      </w:r>
      <w:proofErr w:type="gramEnd"/>
      <w:r>
        <w:rPr>
          <w:rFonts w:ascii="Times New Roman" w:eastAsia="仿宋_GB2312" w:hAnsi="Times New Roman" w:cs="Times New Roman"/>
          <w:sz w:val="32"/>
          <w:szCs w:val="32"/>
        </w:rPr>
        <w:t>辅助注册、解封提供信息发布场所和交易服务构成不正当竞争。判后当事人主动和解，及时履行判决，法律效果和社会效果较好。妥善审理全国首例搜索引擎</w:t>
      </w:r>
      <w:r>
        <w:rPr>
          <w:rFonts w:ascii="Times New Roman" w:eastAsia="仿宋_GB2312" w:hAnsi="Times New Roman" w:cs="Times New Roman"/>
          <w:sz w:val="32"/>
          <w:szCs w:val="32"/>
        </w:rPr>
        <w:t>“</w:t>
      </w:r>
      <w:r>
        <w:rPr>
          <w:rFonts w:ascii="Times New Roman" w:eastAsia="仿宋_GB2312" w:hAnsi="Times New Roman" w:cs="Times New Roman"/>
          <w:sz w:val="32"/>
          <w:szCs w:val="32"/>
        </w:rPr>
        <w:t>万词霸屏</w:t>
      </w:r>
      <w:r>
        <w:rPr>
          <w:rFonts w:ascii="Times New Roman" w:eastAsia="仿宋_GB2312" w:hAnsi="Times New Roman" w:cs="Times New Roman"/>
          <w:sz w:val="32"/>
          <w:szCs w:val="32"/>
        </w:rPr>
        <w:t>”</w:t>
      </w:r>
      <w:r>
        <w:rPr>
          <w:rFonts w:ascii="Times New Roman" w:eastAsia="仿宋_GB2312" w:hAnsi="Times New Roman" w:cs="Times New Roman"/>
          <w:sz w:val="32"/>
          <w:szCs w:val="32"/>
        </w:rPr>
        <w:t>不正当竞争案，彰显人民法院</w:t>
      </w:r>
      <w:proofErr w:type="gramStart"/>
      <w:r>
        <w:rPr>
          <w:rFonts w:ascii="Times New Roman" w:eastAsia="仿宋_GB2312" w:hAnsi="Times New Roman" w:cs="Times New Roman"/>
          <w:sz w:val="32"/>
          <w:szCs w:val="32"/>
        </w:rPr>
        <w:t>营造风朗气</w:t>
      </w:r>
      <w:proofErr w:type="gramEnd"/>
      <w:r>
        <w:rPr>
          <w:rFonts w:ascii="Times New Roman" w:eastAsia="仿宋_GB2312" w:hAnsi="Times New Roman" w:cs="Times New Roman"/>
          <w:sz w:val="32"/>
          <w:szCs w:val="32"/>
        </w:rPr>
        <w:t>清搜索生态和互联网秩序的力度与决心，对于拓宽黑灰产业监管治理途径具有积极意义</w:t>
      </w:r>
      <w:r>
        <w:rPr>
          <w:rFonts w:ascii="Times New Roman" w:eastAsia="仿宋_GB2312" w:hAnsi="Times New Roman" w:cs="Times New Roman" w:hint="eastAsia"/>
          <w:sz w:val="32"/>
          <w:szCs w:val="32"/>
        </w:rPr>
        <w:t>，</w:t>
      </w:r>
      <w:r>
        <w:rPr>
          <w:rFonts w:ascii="Times New Roman" w:eastAsia="仿宋_GB2312" w:hAnsi="Times New Roman" w:cs="Times New Roman"/>
          <w:sz w:val="32"/>
          <w:szCs w:val="32"/>
        </w:rPr>
        <w:t>入选</w:t>
      </w:r>
      <w:r>
        <w:rPr>
          <w:rFonts w:ascii="Times New Roman" w:eastAsia="仿宋_GB2312" w:hAnsi="Times New Roman" w:cs="Times New Roman"/>
          <w:sz w:val="32"/>
          <w:szCs w:val="32"/>
        </w:rPr>
        <w:t>“</w:t>
      </w:r>
      <w:r>
        <w:rPr>
          <w:rFonts w:ascii="Times New Roman" w:eastAsia="仿宋_GB2312" w:hAnsi="Times New Roman" w:cs="Times New Roman"/>
          <w:sz w:val="32"/>
          <w:szCs w:val="32"/>
        </w:rPr>
        <w:t>司法护航数字苏州建设十大典型案例</w:t>
      </w:r>
      <w:r>
        <w:rPr>
          <w:rFonts w:ascii="Times New Roman" w:eastAsia="仿宋_GB2312" w:hAnsi="Times New Roman" w:cs="Times New Roman"/>
          <w:sz w:val="32"/>
          <w:szCs w:val="32"/>
        </w:rPr>
        <w:t>”</w:t>
      </w:r>
      <w:r>
        <w:rPr>
          <w:rFonts w:ascii="Times New Roman" w:eastAsia="仿宋_GB2312" w:hAnsi="Times New Roman" w:cs="Times New Roman"/>
          <w:sz w:val="32"/>
          <w:szCs w:val="32"/>
        </w:rPr>
        <w:t>，并被《中国经济周刊》《人民法院报》等媒体广泛报道。在飞</w:t>
      </w:r>
      <w:r>
        <w:rPr>
          <w:rFonts w:ascii="Times New Roman" w:eastAsia="仿宋_GB2312" w:hAnsi="Times New Roman" w:cs="Times New Roman" w:hint="eastAsia"/>
          <w:sz w:val="32"/>
          <w:szCs w:val="32"/>
        </w:rPr>
        <w:t>流</w:t>
      </w:r>
      <w:r>
        <w:rPr>
          <w:rFonts w:ascii="Times New Roman" w:eastAsia="仿宋_GB2312" w:hAnsi="Times New Roman" w:cs="Times New Roman"/>
          <w:sz w:val="32"/>
          <w:szCs w:val="32"/>
        </w:rPr>
        <w:t>公司案中，依法认定</w:t>
      </w:r>
      <w:r>
        <w:rPr>
          <w:rFonts w:ascii="Times New Roman" w:eastAsia="仿宋_GB2312" w:hAnsi="Times New Roman" w:cs="Times New Roman"/>
          <w:sz w:val="32"/>
          <w:szCs w:val="32"/>
        </w:rPr>
        <w:t>“</w:t>
      </w:r>
      <w:r>
        <w:rPr>
          <w:rFonts w:ascii="Times New Roman" w:eastAsia="仿宋_GB2312" w:hAnsiTheme="majorBidi" w:cs="Times New Roman"/>
          <w:sz w:val="32"/>
          <w:szCs w:val="32"/>
        </w:rPr>
        <w:t>刷量</w:t>
      </w:r>
      <w:r>
        <w:rPr>
          <w:rFonts w:ascii="Times New Roman" w:eastAsia="仿宋_GB2312" w:hAnsi="Times New Roman" w:cs="Times New Roman"/>
          <w:sz w:val="32"/>
          <w:szCs w:val="32"/>
        </w:rPr>
        <w:t>”</w:t>
      </w:r>
      <w:r>
        <w:rPr>
          <w:rFonts w:ascii="Times New Roman" w:eastAsia="仿宋_GB2312" w:hAnsiTheme="majorBidi" w:cs="Times New Roman"/>
          <w:sz w:val="32"/>
          <w:szCs w:val="32"/>
        </w:rPr>
        <w:t>行为构成不正当竞争，惩罚和遏制数据造假黑灰产业，净化网络环境和信息生态。</w:t>
      </w:r>
    </w:p>
    <w:p w:rsidR="00D64D9B" w:rsidRDefault="00D64D9B" w:rsidP="00D64D9B">
      <w:pPr>
        <w:spacing w:line="336" w:lineRule="auto"/>
        <w:ind w:firstLineChars="200" w:firstLine="640"/>
        <w:rPr>
          <w:rFonts w:ascii="Times New Roman" w:eastAsia="仿宋_GB2312" w:hAnsi="Times New Roman" w:cs="Times New Roman"/>
          <w:sz w:val="32"/>
          <w:szCs w:val="32"/>
          <w:highlight w:val="yellow"/>
        </w:rPr>
      </w:pPr>
      <w:r>
        <w:rPr>
          <w:rFonts w:ascii="Times New Roman" w:eastAsia="楷体" w:hAnsi="Times New Roman" w:cs="Times New Roman"/>
          <w:sz w:val="32"/>
          <w:szCs w:val="32"/>
        </w:rPr>
        <w:t>五是坚持平等原则，依法保护中外当事人合法竞争权益。</w:t>
      </w:r>
      <w:r>
        <w:rPr>
          <w:rFonts w:ascii="Times New Roman" w:eastAsia="仿宋_GB2312" w:hAnsi="Times New Roman" w:cs="Times New Roman"/>
          <w:sz w:val="32"/>
          <w:szCs w:val="32"/>
        </w:rPr>
        <w:t>把依法平等保护中外当事人合法竞争权益贯穿竞争类案件审理全过程，准确适用国际公约、国际惯例和国内立法，确保中外当事人诉讼地位和诉讼权利平等、法律适用和法律责任平等，推动营造一流的市场化法治化国际化营商环境。审结涉德国知名家居品牌</w:t>
      </w:r>
      <w:r>
        <w:rPr>
          <w:rFonts w:ascii="Times New Roman" w:eastAsia="仿宋_GB2312" w:hAnsi="Times New Roman" w:cs="Times New Roman"/>
          <w:sz w:val="32"/>
          <w:szCs w:val="32"/>
        </w:rPr>
        <w:t>“</w:t>
      </w:r>
      <w:r>
        <w:rPr>
          <w:rFonts w:ascii="Times New Roman" w:eastAsia="仿宋_GB2312" w:hAnsi="Times New Roman" w:cs="Times New Roman"/>
          <w:sz w:val="32"/>
          <w:szCs w:val="32"/>
        </w:rPr>
        <w:t>德禄</w:t>
      </w:r>
      <w:r>
        <w:rPr>
          <w:rFonts w:ascii="Times New Roman" w:eastAsia="仿宋_GB2312" w:hAnsi="Times New Roman" w:cs="Times New Roman"/>
          <w:sz w:val="32"/>
          <w:szCs w:val="32"/>
        </w:rPr>
        <w:t>”</w:t>
      </w:r>
      <w:r>
        <w:rPr>
          <w:rFonts w:ascii="Times New Roman" w:eastAsia="仿宋_GB2312" w:hAnsi="Times New Roman" w:cs="Times New Roman"/>
          <w:sz w:val="32"/>
          <w:szCs w:val="32"/>
        </w:rPr>
        <w:t>商标侵权及不正当竞争纠纷案，依法适用惩罚性赔偿，全</w:t>
      </w:r>
      <w:r>
        <w:rPr>
          <w:rFonts w:ascii="Times New Roman" w:eastAsia="仿宋_GB2312" w:hAnsi="Times New Roman" w:cs="Times New Roman"/>
          <w:sz w:val="32"/>
          <w:szCs w:val="32"/>
        </w:rPr>
        <w:lastRenderedPageBreak/>
        <w:t>额支持权利人</w:t>
      </w:r>
      <w:r>
        <w:rPr>
          <w:rFonts w:ascii="Times New Roman" w:eastAsia="仿宋_GB2312" w:hAnsi="Times New Roman" w:cs="Times New Roman"/>
          <w:sz w:val="32"/>
          <w:szCs w:val="32"/>
        </w:rPr>
        <w:t>5000</w:t>
      </w:r>
      <w:r>
        <w:rPr>
          <w:rFonts w:ascii="Times New Roman" w:eastAsia="仿宋_GB2312" w:hAnsi="Times New Roman" w:cs="Times New Roman"/>
          <w:sz w:val="32"/>
          <w:szCs w:val="32"/>
        </w:rPr>
        <w:t>万元赔偿请求，该案也是目前外资企业在华最大赔偿额的商标侵权案件。在涉</w:t>
      </w:r>
      <w:r>
        <w:rPr>
          <w:rFonts w:ascii="Times New Roman" w:eastAsia="仿宋_GB2312" w:hAnsi="Times New Roman" w:cs="Times New Roman"/>
          <w:sz w:val="32"/>
          <w:szCs w:val="32"/>
        </w:rPr>
        <w:t>“BURBERRY”</w:t>
      </w:r>
      <w:r>
        <w:rPr>
          <w:rFonts w:ascii="Times New Roman" w:eastAsia="仿宋_GB2312" w:hAnsi="Times New Roman" w:cs="Times New Roman"/>
          <w:sz w:val="32"/>
          <w:szCs w:val="32"/>
        </w:rPr>
        <w:t>商标侵权及不正当竞争纠纷案中，依申请及时下发临时禁令，有效阻止行为人继续实施被诉侵权行为。该案入选中国外商投资企业协会优质品牌保护委员会</w:t>
      </w:r>
      <w:r>
        <w:rPr>
          <w:rFonts w:ascii="Times New Roman" w:eastAsia="仿宋_GB2312" w:hAnsi="Times New Roman" w:cs="Times New Roman"/>
          <w:sz w:val="32"/>
          <w:szCs w:val="32"/>
        </w:rPr>
        <w:t>“2020-2021</w:t>
      </w:r>
      <w:r>
        <w:rPr>
          <w:rFonts w:ascii="Times New Roman" w:eastAsia="仿宋_GB2312" w:hAnsi="Times New Roman" w:cs="Times New Roman"/>
          <w:sz w:val="32"/>
          <w:szCs w:val="32"/>
        </w:rPr>
        <w:t>年度十佳案例</w:t>
      </w:r>
      <w:r>
        <w:rPr>
          <w:rFonts w:ascii="Times New Roman" w:eastAsia="仿宋_GB2312" w:hAnsi="Times New Roman" w:cs="Times New Roman"/>
          <w:sz w:val="32"/>
          <w:szCs w:val="32"/>
        </w:rPr>
        <w:t>”</w:t>
      </w:r>
      <w:r>
        <w:rPr>
          <w:rFonts w:ascii="Times New Roman" w:eastAsia="仿宋_GB2312" w:hAnsi="Times New Roman" w:cs="Times New Roman"/>
          <w:sz w:val="32"/>
          <w:szCs w:val="32"/>
        </w:rPr>
        <w:t>。</w:t>
      </w:r>
    </w:p>
    <w:p w:rsidR="00F36605" w:rsidRDefault="000F7A56">
      <w:pPr>
        <w:spacing w:line="336" w:lineRule="auto"/>
        <w:ind w:firstLineChars="200" w:firstLine="640"/>
        <w:rPr>
          <w:rFonts w:ascii="Times New Roman" w:eastAsia="黑体" w:hAnsi="Times New Roman" w:cs="Times New Roman"/>
          <w:sz w:val="32"/>
          <w:szCs w:val="32"/>
        </w:rPr>
      </w:pPr>
      <w:r>
        <w:rPr>
          <w:rFonts w:ascii="Times New Roman" w:eastAsia="黑体" w:hAnsi="Times New Roman" w:cs="Times New Roman"/>
          <w:sz w:val="32"/>
          <w:szCs w:val="32"/>
        </w:rPr>
        <w:t>四、坚持共建共治共享，推动竞争行为综合治理</w:t>
      </w:r>
    </w:p>
    <w:p w:rsidR="00F36605" w:rsidRDefault="000F7A56">
      <w:pPr>
        <w:spacing w:line="336" w:lineRule="auto"/>
        <w:ind w:firstLineChars="200" w:firstLine="640"/>
        <w:rPr>
          <w:rFonts w:ascii="Times New Roman" w:eastAsia="仿宋_GB2312" w:hAnsi="Times New Roman" w:cs="Times New Roman"/>
          <w:sz w:val="32"/>
          <w:szCs w:val="32"/>
        </w:rPr>
      </w:pPr>
      <w:r>
        <w:rPr>
          <w:rFonts w:ascii="Times New Roman" w:eastAsia="楷体" w:hAnsi="Times New Roman" w:cs="Times New Roman"/>
          <w:sz w:val="32"/>
          <w:szCs w:val="32"/>
        </w:rPr>
        <w:t>一是不断加强执法司法工作衔接，形成保护合力。</w:t>
      </w:r>
      <w:r>
        <w:rPr>
          <w:rFonts w:ascii="Times New Roman" w:eastAsia="仿宋_GB2312" w:hAnsi="Times New Roman" w:cs="Times New Roman"/>
          <w:sz w:val="32"/>
          <w:szCs w:val="32"/>
        </w:rPr>
        <w:t>迎接全国人大常委会关于反不正当竞争法实施执法检查，及省人大常委会对全省法院知识产权审判工作专题审议，获</w:t>
      </w:r>
      <w:r>
        <w:rPr>
          <w:rFonts w:ascii="Times New Roman" w:eastAsia="仿宋_GB2312" w:hAnsi="Times New Roman" w:cs="Times New Roman"/>
          <w:sz w:val="32"/>
          <w:szCs w:val="32"/>
        </w:rPr>
        <w:t>100%</w:t>
      </w:r>
      <w:r>
        <w:rPr>
          <w:rFonts w:ascii="Times New Roman" w:eastAsia="仿宋_GB2312" w:hAnsi="Times New Roman" w:cs="Times New Roman"/>
          <w:sz w:val="32"/>
          <w:szCs w:val="32"/>
        </w:rPr>
        <w:t>满意度。积极参加省政府反不正当竞争、反垄断执法工作联席会议</w:t>
      </w:r>
      <w:r>
        <w:rPr>
          <w:rFonts w:ascii="Times New Roman" w:eastAsia="仿宋_GB2312" w:hAnsi="Times New Roman" w:cs="Times New Roman" w:hint="eastAsia"/>
          <w:sz w:val="32"/>
          <w:szCs w:val="32"/>
        </w:rPr>
        <w:t>，</w:t>
      </w:r>
      <w:r>
        <w:rPr>
          <w:rFonts w:ascii="Times New Roman" w:eastAsia="仿宋_GB2312" w:hAnsi="Times New Roman" w:cs="Times New Roman"/>
          <w:sz w:val="32"/>
          <w:szCs w:val="32"/>
        </w:rPr>
        <w:t>支持反垄断反不正当竞争执法机关依法履职。在梧州黄埔公司</w:t>
      </w:r>
      <w:r>
        <w:rPr>
          <w:rFonts w:ascii="Times New Roman" w:eastAsia="仿宋_GB2312" w:hAnsi="Times New Roman" w:cs="Times New Roman" w:hint="eastAsia"/>
          <w:sz w:val="32"/>
          <w:szCs w:val="32"/>
        </w:rPr>
        <w:t>不服</w:t>
      </w:r>
      <w:r>
        <w:rPr>
          <w:rFonts w:ascii="Times New Roman" w:eastAsia="仿宋_GB2312" w:hAnsi="Times New Roman" w:cs="Times New Roman"/>
          <w:sz w:val="32"/>
          <w:szCs w:val="32"/>
        </w:rPr>
        <w:t>国家市场监督管理总局、省市场监督管理局反垄断处罚决定及复议决定的行政诉讼中，依法支持两行政机关</w:t>
      </w:r>
      <w:r>
        <w:rPr>
          <w:rFonts w:ascii="Times New Roman" w:eastAsia="仿宋_GB2312" w:hAnsi="Times New Roman" w:cs="Times New Roman" w:hint="eastAsia"/>
          <w:sz w:val="32"/>
          <w:szCs w:val="32"/>
        </w:rPr>
        <w:t>对该</w:t>
      </w:r>
      <w:r>
        <w:rPr>
          <w:rFonts w:ascii="Times New Roman" w:eastAsia="仿宋_GB2312" w:hAnsi="Times New Roman" w:cs="Times New Roman"/>
          <w:sz w:val="32"/>
          <w:szCs w:val="32"/>
        </w:rPr>
        <w:t>企业存在协同分割</w:t>
      </w:r>
      <w:r>
        <w:rPr>
          <w:rFonts w:ascii="Times New Roman" w:eastAsia="仿宋_GB2312" w:hAnsi="Times New Roman" w:cs="Times New Roman"/>
          <w:sz w:val="32"/>
          <w:szCs w:val="32"/>
        </w:rPr>
        <w:t>CP</w:t>
      </w:r>
      <w:r>
        <w:rPr>
          <w:rFonts w:ascii="Times New Roman" w:eastAsia="仿宋_GB2312" w:hAnsi="Times New Roman" w:cs="Times New Roman"/>
          <w:sz w:val="32"/>
          <w:szCs w:val="32"/>
        </w:rPr>
        <w:t>樟脑销售市场、固定或变更</w:t>
      </w:r>
      <w:r>
        <w:rPr>
          <w:rFonts w:ascii="Times New Roman" w:eastAsia="仿宋_GB2312" w:hAnsi="Times New Roman" w:cs="Times New Roman"/>
          <w:sz w:val="32"/>
          <w:szCs w:val="32"/>
        </w:rPr>
        <w:t>CP</w:t>
      </w:r>
      <w:r>
        <w:rPr>
          <w:rFonts w:ascii="Times New Roman" w:eastAsia="仿宋_GB2312" w:hAnsi="Times New Roman" w:cs="Times New Roman"/>
          <w:sz w:val="32"/>
          <w:szCs w:val="32"/>
        </w:rPr>
        <w:t>樟脑销售价格垄断行为的认定以及</w:t>
      </w:r>
      <w:proofErr w:type="gramStart"/>
      <w:r>
        <w:rPr>
          <w:rFonts w:ascii="Times New Roman" w:eastAsia="仿宋_GB2312" w:hAnsi="Times New Roman" w:cs="Times New Roman"/>
          <w:sz w:val="32"/>
          <w:szCs w:val="32"/>
        </w:rPr>
        <w:t>作出</w:t>
      </w:r>
      <w:proofErr w:type="gramEnd"/>
      <w:r>
        <w:rPr>
          <w:rFonts w:ascii="Times New Roman" w:eastAsia="仿宋_GB2312" w:hAnsi="Times New Roman" w:cs="Times New Roman"/>
          <w:sz w:val="32"/>
          <w:szCs w:val="32"/>
        </w:rPr>
        <w:t>的相应处罚。联合省检察院、公安厅开展假冒注册商标罪等罪名的专题研讨，推动刑法修正案（十一）实施；联合制定侵犯商业秘密罪办案指导意见</w:t>
      </w:r>
      <w:r>
        <w:rPr>
          <w:rFonts w:ascii="Times New Roman" w:eastAsia="仿宋_GB2312" w:hAnsi="Times New Roman" w:cs="Times New Roman" w:hint="eastAsia"/>
          <w:sz w:val="32"/>
          <w:szCs w:val="32"/>
        </w:rPr>
        <w:t>，并</w:t>
      </w:r>
      <w:r>
        <w:rPr>
          <w:rFonts w:ascii="Times New Roman" w:eastAsia="仿宋_GB2312" w:hAnsi="Times New Roman" w:cs="Times New Roman"/>
          <w:sz w:val="32"/>
          <w:szCs w:val="32"/>
        </w:rPr>
        <w:t>共同开展侵犯商业秘密罪课题专题调研，研究报告获第二届全国优秀知识产权调研成果一等</w:t>
      </w:r>
      <w:r w:rsidR="004C3AF8">
        <w:rPr>
          <w:rFonts w:ascii="Times New Roman" w:eastAsia="仿宋_GB2312" w:hAnsi="Times New Roman" w:cs="Times New Roman"/>
          <w:sz w:val="32"/>
          <w:szCs w:val="32"/>
        </w:rPr>
        <w:t>奖。联合省市场监督管理局发布反垄断反不正当竞争执法、司法工作</w:t>
      </w:r>
      <w:r w:rsidR="004C3AF8">
        <w:rPr>
          <w:rFonts w:ascii="Times New Roman" w:eastAsia="仿宋_GB2312" w:hAnsi="Times New Roman" w:cs="Times New Roman" w:hint="eastAsia"/>
          <w:sz w:val="32"/>
          <w:szCs w:val="32"/>
        </w:rPr>
        <w:t>情况</w:t>
      </w:r>
      <w:r>
        <w:rPr>
          <w:rFonts w:ascii="Times New Roman" w:eastAsia="仿宋_GB2312" w:hAnsi="Times New Roman" w:cs="Times New Roman"/>
          <w:sz w:val="32"/>
          <w:szCs w:val="32"/>
        </w:rPr>
        <w:t>及典型案例。常州中院就侵犯商业秘密罪的立案、入</w:t>
      </w:r>
      <w:proofErr w:type="gramStart"/>
      <w:r>
        <w:rPr>
          <w:rFonts w:ascii="Times New Roman" w:eastAsia="仿宋_GB2312" w:hAnsi="Times New Roman" w:cs="Times New Roman"/>
          <w:sz w:val="32"/>
          <w:szCs w:val="32"/>
        </w:rPr>
        <w:t>罪条件</w:t>
      </w:r>
      <w:proofErr w:type="gramEnd"/>
      <w:r>
        <w:rPr>
          <w:rFonts w:ascii="Times New Roman" w:eastAsia="仿宋_GB2312" w:hAnsi="Times New Roman" w:cs="Times New Roman"/>
          <w:sz w:val="32"/>
          <w:szCs w:val="32"/>
        </w:rPr>
        <w:t>等法律问题，以及行政与司法协同、民事与刑事衔接等工作</w:t>
      </w:r>
      <w:r>
        <w:rPr>
          <w:rFonts w:ascii="Times New Roman" w:eastAsia="仿宋_GB2312" w:hAnsi="Times New Roman" w:cs="Times New Roman" w:hint="eastAsia"/>
          <w:sz w:val="32"/>
          <w:szCs w:val="32"/>
        </w:rPr>
        <w:t>，组织</w:t>
      </w:r>
      <w:r>
        <w:rPr>
          <w:rFonts w:ascii="Times New Roman" w:eastAsia="仿宋_GB2312" w:hAnsi="Times New Roman" w:cs="Times New Roman"/>
          <w:sz w:val="32"/>
          <w:szCs w:val="32"/>
        </w:rPr>
        <w:t>公安局、检察院、市场监督管理局召开会议，出台实施意见，徐州中院联</w:t>
      </w:r>
      <w:r>
        <w:rPr>
          <w:rFonts w:ascii="Times New Roman" w:eastAsia="仿宋_GB2312" w:hAnsi="Times New Roman" w:cs="Times New Roman"/>
          <w:sz w:val="32"/>
          <w:szCs w:val="32"/>
        </w:rPr>
        <w:lastRenderedPageBreak/>
        <w:t>合市场监督管理局等出台《商业秘密保护协作机制》，推动形成保护合力。加强与长三角高院及知识产权局等沟通协作，</w:t>
      </w:r>
      <w:r>
        <w:rPr>
          <w:rFonts w:ascii="Times New Roman" w:eastAsia="仿宋_GB2312" w:hAnsi="Times New Roman" w:cs="Times New Roman" w:hint="eastAsia"/>
          <w:sz w:val="32"/>
          <w:szCs w:val="32"/>
        </w:rPr>
        <w:t>签订</w:t>
      </w:r>
      <w:r>
        <w:rPr>
          <w:rFonts w:ascii="Times New Roman" w:eastAsia="仿宋_GB2312" w:hAnsi="Times New Roman" w:cs="Times New Roman"/>
          <w:sz w:val="32"/>
          <w:szCs w:val="32"/>
        </w:rPr>
        <w:t>备忘录</w:t>
      </w:r>
      <w:r>
        <w:rPr>
          <w:rFonts w:ascii="Times New Roman" w:eastAsia="仿宋_GB2312" w:hAnsi="Times New Roman" w:cs="Times New Roman" w:hint="eastAsia"/>
          <w:sz w:val="32"/>
          <w:szCs w:val="32"/>
        </w:rPr>
        <w:t>，制定</w:t>
      </w:r>
      <w:r>
        <w:rPr>
          <w:rFonts w:ascii="Times New Roman" w:eastAsia="仿宋_GB2312" w:hAnsi="Times New Roman" w:cs="Times New Roman"/>
          <w:sz w:val="32"/>
          <w:szCs w:val="32"/>
        </w:rPr>
        <w:t>先行先试举措，推动区域科技创新。</w:t>
      </w:r>
      <w:r>
        <w:rPr>
          <w:rFonts w:ascii="Times New Roman" w:eastAsia="仿宋_GB2312" w:hAnsi="Times New Roman" w:cs="Times New Roman"/>
          <w:sz w:val="32"/>
          <w:szCs w:val="32"/>
        </w:rPr>
        <w:t>“</w:t>
      </w:r>
      <w:r>
        <w:rPr>
          <w:rFonts w:ascii="Times New Roman" w:eastAsia="仿宋_GB2312" w:hAnsi="Times New Roman" w:cs="Times New Roman"/>
          <w:sz w:val="32"/>
          <w:szCs w:val="32"/>
        </w:rPr>
        <w:t>先行先试创新突破推动长三角知识产权保护一体化</w:t>
      </w:r>
      <w:r>
        <w:rPr>
          <w:rFonts w:ascii="Times New Roman" w:eastAsia="仿宋_GB2312" w:hAnsi="Times New Roman" w:cs="Times New Roman"/>
          <w:sz w:val="32"/>
          <w:szCs w:val="32"/>
        </w:rPr>
        <w:t>”</w:t>
      </w:r>
      <w:r>
        <w:rPr>
          <w:rFonts w:ascii="Times New Roman" w:eastAsia="仿宋_GB2312" w:hAnsi="Times New Roman" w:cs="Times New Roman"/>
          <w:sz w:val="32"/>
          <w:szCs w:val="32"/>
        </w:rPr>
        <w:t>等</w:t>
      </w:r>
      <w:r>
        <w:rPr>
          <w:rFonts w:ascii="Times New Roman" w:eastAsia="仿宋_GB2312" w:hAnsi="Times New Roman" w:cs="Times New Roman"/>
          <w:sz w:val="32"/>
          <w:szCs w:val="32"/>
        </w:rPr>
        <w:t>2</w:t>
      </w:r>
      <w:r>
        <w:rPr>
          <w:rFonts w:ascii="Times New Roman" w:eastAsia="仿宋_GB2312" w:hAnsi="Times New Roman" w:cs="Times New Roman"/>
          <w:sz w:val="32"/>
          <w:szCs w:val="32"/>
        </w:rPr>
        <w:t>项创新工作举措入选国务院知识产权强国建设首批典型案例并被推广全国。</w:t>
      </w:r>
    </w:p>
    <w:p w:rsidR="00F36605" w:rsidRDefault="000F7A56">
      <w:pPr>
        <w:spacing w:line="336" w:lineRule="auto"/>
        <w:ind w:firstLineChars="200" w:firstLine="640"/>
        <w:rPr>
          <w:rFonts w:ascii="Times New Roman" w:eastAsia="仿宋_GB2312" w:hAnsiTheme="majorBidi" w:cs="Times New Roman"/>
          <w:sz w:val="32"/>
          <w:szCs w:val="32"/>
        </w:rPr>
      </w:pPr>
      <w:r>
        <w:rPr>
          <w:rFonts w:ascii="Times New Roman" w:eastAsia="楷体" w:hAnsi="Times New Roman" w:cs="Times New Roman"/>
          <w:sz w:val="32"/>
          <w:szCs w:val="32"/>
        </w:rPr>
        <w:t>二是精准</w:t>
      </w:r>
      <w:proofErr w:type="gramStart"/>
      <w:r>
        <w:rPr>
          <w:rFonts w:ascii="Times New Roman" w:eastAsia="楷体" w:hAnsi="Times New Roman" w:cs="Times New Roman"/>
          <w:sz w:val="32"/>
          <w:szCs w:val="32"/>
        </w:rPr>
        <w:t>服务科创主体</w:t>
      </w:r>
      <w:proofErr w:type="gramEnd"/>
      <w:r>
        <w:rPr>
          <w:rFonts w:ascii="Times New Roman" w:eastAsia="楷体" w:hAnsi="Times New Roman" w:cs="Times New Roman"/>
          <w:sz w:val="32"/>
          <w:szCs w:val="32"/>
        </w:rPr>
        <w:t>，</w:t>
      </w:r>
      <w:r w:rsidR="00FB2B05">
        <w:rPr>
          <w:rFonts w:ascii="Times New Roman" w:eastAsia="楷体" w:hAnsi="Times New Roman" w:cs="Times New Roman" w:hint="eastAsia"/>
          <w:sz w:val="32"/>
          <w:szCs w:val="32"/>
        </w:rPr>
        <w:t>推动</w:t>
      </w:r>
      <w:r>
        <w:rPr>
          <w:rFonts w:ascii="Times New Roman" w:eastAsia="楷体" w:hAnsi="Times New Roman" w:cs="Times New Roman"/>
          <w:sz w:val="32"/>
          <w:szCs w:val="32"/>
        </w:rPr>
        <w:t>增强公平竞争法治意识与能力。</w:t>
      </w:r>
      <w:r>
        <w:rPr>
          <w:rFonts w:ascii="Times New Roman" w:eastAsia="仿宋_GB2312" w:hAnsiTheme="majorBidi" w:cs="Times New Roman"/>
          <w:sz w:val="32"/>
          <w:szCs w:val="32"/>
        </w:rPr>
        <w:t>常态化走访高新技术企业，及时回应商业秘密保护、竞业限制、公平竞争等社会关切。</w:t>
      </w:r>
      <w:r>
        <w:rPr>
          <w:rFonts w:ascii="Times New Roman" w:eastAsia="仿宋_GB2312" w:hAnsi="Times New Roman" w:cs="Times New Roman"/>
          <w:sz w:val="32"/>
          <w:szCs w:val="32"/>
        </w:rPr>
        <w:t>联合</w:t>
      </w:r>
      <w:proofErr w:type="gramStart"/>
      <w:r>
        <w:rPr>
          <w:rFonts w:ascii="Times New Roman" w:eastAsia="仿宋_GB2312" w:hAnsi="Times New Roman" w:cs="Times New Roman"/>
          <w:sz w:val="32"/>
          <w:szCs w:val="32"/>
        </w:rPr>
        <w:t>省工信厅等</w:t>
      </w:r>
      <w:proofErr w:type="gramEnd"/>
      <w:r>
        <w:rPr>
          <w:rFonts w:ascii="Times New Roman" w:eastAsia="仿宋_GB2312" w:hAnsi="Times New Roman" w:cs="Times New Roman"/>
          <w:sz w:val="32"/>
          <w:szCs w:val="32"/>
        </w:rPr>
        <w:t>开展</w:t>
      </w:r>
      <w:r>
        <w:rPr>
          <w:rFonts w:ascii="Times New Roman" w:eastAsia="仿宋_GB2312" w:hAnsi="Times New Roman" w:cs="Times New Roman"/>
          <w:sz w:val="32"/>
          <w:szCs w:val="32"/>
        </w:rPr>
        <w:t>“</w:t>
      </w:r>
      <w:r>
        <w:rPr>
          <w:rFonts w:ascii="Times New Roman" w:eastAsia="仿宋_GB2312" w:hAnsi="Times New Roman" w:cs="Times New Roman"/>
          <w:sz w:val="32"/>
          <w:szCs w:val="32"/>
        </w:rPr>
        <w:t>揭榜挂帅企业行</w:t>
      </w:r>
      <w:r>
        <w:rPr>
          <w:rFonts w:ascii="Times New Roman" w:eastAsia="仿宋_GB2312" w:hAnsi="Times New Roman" w:cs="Times New Roman"/>
          <w:sz w:val="32"/>
          <w:szCs w:val="32"/>
        </w:rPr>
        <w:t>”</w:t>
      </w:r>
      <w:r>
        <w:rPr>
          <w:rFonts w:ascii="Times New Roman" w:eastAsia="仿宋_GB2312" w:hAnsi="Times New Roman" w:cs="Times New Roman"/>
          <w:sz w:val="32"/>
          <w:szCs w:val="32"/>
        </w:rPr>
        <w:t>活动，</w:t>
      </w:r>
      <w:r>
        <w:rPr>
          <w:rFonts w:ascii="Times New Roman" w:eastAsia="仿宋_GB2312" w:hAnsi="Times New Roman" w:cs="Times New Roman" w:hint="eastAsia"/>
          <w:sz w:val="32"/>
          <w:szCs w:val="32"/>
        </w:rPr>
        <w:t>通过</w:t>
      </w:r>
      <w:r>
        <w:rPr>
          <w:rFonts w:ascii="Times New Roman" w:eastAsia="仿宋_GB2312" w:hAnsi="Times New Roman" w:cs="Times New Roman"/>
          <w:sz w:val="32"/>
          <w:szCs w:val="32"/>
        </w:rPr>
        <w:t>大走访大座谈，</w:t>
      </w:r>
      <w:r>
        <w:rPr>
          <w:rFonts w:ascii="Times New Roman" w:eastAsia="仿宋_GB2312" w:hAnsi="Times New Roman" w:cs="Times New Roman" w:hint="eastAsia"/>
          <w:sz w:val="32"/>
          <w:szCs w:val="32"/>
        </w:rPr>
        <w:t>助力</w:t>
      </w:r>
      <w:r>
        <w:rPr>
          <w:rFonts w:ascii="Times New Roman" w:eastAsia="仿宋_GB2312" w:hAnsi="Times New Roman" w:cs="Times New Roman"/>
          <w:sz w:val="32"/>
          <w:szCs w:val="32"/>
        </w:rPr>
        <w:t>突破卡脖子技术攻关的</w:t>
      </w:r>
      <w:r>
        <w:rPr>
          <w:rFonts w:ascii="Times New Roman" w:eastAsia="仿宋_GB2312" w:hAnsi="Times New Roman" w:cs="Times New Roman" w:hint="eastAsia"/>
          <w:sz w:val="32"/>
          <w:szCs w:val="32"/>
        </w:rPr>
        <w:t>34</w:t>
      </w:r>
      <w:r>
        <w:rPr>
          <w:rFonts w:ascii="Times New Roman" w:eastAsia="仿宋_GB2312" w:hAnsi="Times New Roman" w:cs="Times New Roman" w:hint="eastAsia"/>
          <w:sz w:val="32"/>
          <w:szCs w:val="32"/>
        </w:rPr>
        <w:t>家</w:t>
      </w:r>
      <w:r>
        <w:rPr>
          <w:rFonts w:ascii="Times New Roman" w:eastAsia="仿宋_GB2312" w:hAnsi="Times New Roman" w:cs="Times New Roman"/>
          <w:sz w:val="32"/>
          <w:szCs w:val="32"/>
        </w:rPr>
        <w:t>企业，</w:t>
      </w:r>
      <w:r>
        <w:rPr>
          <w:rFonts w:ascii="Times New Roman" w:eastAsia="仿宋_GB2312" w:hAnsi="Times New Roman" w:cs="Times New Roman" w:hint="eastAsia"/>
          <w:sz w:val="32"/>
          <w:szCs w:val="32"/>
        </w:rPr>
        <w:t>提升</w:t>
      </w:r>
      <w:r>
        <w:rPr>
          <w:rFonts w:ascii="Times New Roman" w:eastAsia="仿宋_GB2312" w:hAnsi="Times New Roman" w:cs="Times New Roman"/>
          <w:sz w:val="32"/>
          <w:szCs w:val="32"/>
        </w:rPr>
        <w:t>知识产权布局能力和卡脖子技术攻坚。</w:t>
      </w:r>
      <w:r>
        <w:rPr>
          <w:rFonts w:ascii="Times New Roman" w:eastAsia="仿宋_GB2312" w:hAnsiTheme="majorBidi" w:cs="Times New Roman"/>
          <w:sz w:val="32"/>
          <w:szCs w:val="32"/>
        </w:rPr>
        <w:t>与省知识产权局</w:t>
      </w:r>
      <w:r>
        <w:rPr>
          <w:rFonts w:ascii="Times New Roman" w:eastAsia="仿宋_GB2312" w:hAnsiTheme="majorBidi" w:cs="Times New Roman" w:hint="eastAsia"/>
          <w:sz w:val="32"/>
          <w:szCs w:val="32"/>
        </w:rPr>
        <w:t>等</w:t>
      </w:r>
      <w:r>
        <w:rPr>
          <w:rFonts w:ascii="Times New Roman" w:eastAsia="仿宋_GB2312" w:hAnsiTheme="majorBidi" w:cs="Times New Roman"/>
          <w:sz w:val="32"/>
          <w:szCs w:val="32"/>
        </w:rPr>
        <w:t>相关</w:t>
      </w:r>
      <w:r>
        <w:rPr>
          <w:rFonts w:ascii="Times New Roman" w:eastAsia="仿宋_GB2312" w:hAnsiTheme="majorBidi" w:cs="Times New Roman" w:hint="eastAsia"/>
          <w:sz w:val="32"/>
          <w:szCs w:val="32"/>
        </w:rPr>
        <w:t>部门，</w:t>
      </w:r>
      <w:r>
        <w:rPr>
          <w:rFonts w:ascii="Times New Roman" w:eastAsia="仿宋_GB2312" w:hAnsiTheme="majorBidi" w:cs="Times New Roman"/>
          <w:sz w:val="32"/>
          <w:szCs w:val="32"/>
        </w:rPr>
        <w:t>围绕</w:t>
      </w:r>
      <w:r>
        <w:rPr>
          <w:rFonts w:ascii="Times New Roman" w:eastAsia="仿宋_GB2312" w:hAnsi="Times New Roman" w:cs="Times New Roman"/>
          <w:sz w:val="32"/>
          <w:szCs w:val="32"/>
        </w:rPr>
        <w:t>“</w:t>
      </w:r>
      <w:r>
        <w:rPr>
          <w:rFonts w:ascii="Times New Roman" w:eastAsia="仿宋_GB2312" w:hAnsiTheme="majorBidi" w:cs="Times New Roman"/>
          <w:sz w:val="32"/>
          <w:szCs w:val="32"/>
        </w:rPr>
        <w:t>知识产权助力产业强链和自主可控现代产业体系建设</w:t>
      </w:r>
      <w:r>
        <w:rPr>
          <w:rFonts w:ascii="Times New Roman" w:eastAsia="仿宋_GB2312" w:hAnsi="Times New Roman" w:cs="Times New Roman"/>
          <w:sz w:val="32"/>
          <w:szCs w:val="32"/>
        </w:rPr>
        <w:t>”</w:t>
      </w:r>
      <w:r>
        <w:rPr>
          <w:rFonts w:ascii="Times New Roman" w:eastAsia="仿宋_GB2312" w:hAnsiTheme="majorBidi" w:cs="Times New Roman"/>
          <w:sz w:val="32"/>
          <w:szCs w:val="32"/>
        </w:rPr>
        <w:t>签署合作备忘录，建立服务重点产业</w:t>
      </w:r>
      <w:proofErr w:type="gramStart"/>
      <w:r>
        <w:rPr>
          <w:rFonts w:ascii="Times New Roman" w:eastAsia="仿宋_GB2312" w:hAnsiTheme="majorBidi" w:cs="Times New Roman"/>
          <w:sz w:val="32"/>
          <w:szCs w:val="32"/>
        </w:rPr>
        <w:t>链发展</w:t>
      </w:r>
      <w:proofErr w:type="gramEnd"/>
      <w:r>
        <w:rPr>
          <w:rFonts w:ascii="Times New Roman" w:eastAsia="仿宋_GB2312" w:hAnsiTheme="majorBidi" w:cs="Times New Roman"/>
          <w:sz w:val="32"/>
          <w:szCs w:val="32"/>
        </w:rPr>
        <w:t>工作机制。省法院法官应邀为执法机关、行业协会、科技企业等作专题讲座近百场，助力提升行政执法能力，增强企业尊重和维护公平竞争的法治意识。省法院知识产权庭</w:t>
      </w:r>
      <w:r>
        <w:rPr>
          <w:rFonts w:ascii="Times New Roman" w:eastAsia="仿宋_GB2312" w:hAnsiTheme="majorBidi" w:cs="Times New Roman" w:hint="eastAsia"/>
          <w:sz w:val="32"/>
          <w:szCs w:val="32"/>
        </w:rPr>
        <w:t>被评为“江苏省工人先锋号”，</w:t>
      </w:r>
      <w:r>
        <w:rPr>
          <w:rFonts w:ascii="Times New Roman" w:eastAsia="仿宋_GB2312" w:hAnsiTheme="majorBidi" w:cs="Times New Roman"/>
          <w:sz w:val="32"/>
          <w:szCs w:val="32"/>
        </w:rPr>
        <w:t>支部被评为省级机关服务高质量发展先锋队十佳党支部。</w:t>
      </w:r>
    </w:p>
    <w:p w:rsidR="00F36605" w:rsidRDefault="000F7A56">
      <w:pPr>
        <w:spacing w:line="336" w:lineRule="auto"/>
        <w:ind w:firstLineChars="200" w:firstLine="640"/>
        <w:rPr>
          <w:rFonts w:ascii="Times New Roman" w:eastAsia="仿宋_GB2312" w:hAnsi="Times New Roman" w:cs="Times New Roman"/>
          <w:sz w:val="32"/>
          <w:szCs w:val="32"/>
        </w:rPr>
      </w:pPr>
      <w:r>
        <w:rPr>
          <w:rFonts w:ascii="Times New Roman" w:eastAsia="楷体" w:hAnsi="Times New Roman" w:cs="Times New Roman"/>
          <w:sz w:val="32"/>
          <w:szCs w:val="32"/>
        </w:rPr>
        <w:t>三是大力开展法治宣传，营造崇尚公平竞争的社会氛围。</w:t>
      </w:r>
      <w:r>
        <w:rPr>
          <w:rFonts w:ascii="Times New Roman" w:eastAsia="仿宋_GB2312" w:hAnsiTheme="majorBidi" w:cs="Times New Roman"/>
          <w:sz w:val="32"/>
          <w:szCs w:val="32"/>
        </w:rPr>
        <w:t>连续十七年向社会发布《江苏法院知识产权司法保护状况》《江苏法院知识产权案件年度报告》及十大典型案例，连续三年同步发布中英文版；专题发布适用惩罚性赔偿、反不正当竞争、推进知识产权诚信体系建设典型案例，</w:t>
      </w:r>
      <w:r>
        <w:rPr>
          <w:rFonts w:ascii="Times New Roman" w:eastAsia="仿宋_GB2312" w:hAnsi="Times New Roman" w:cs="Times New Roman"/>
          <w:sz w:val="32"/>
          <w:szCs w:val="32"/>
        </w:rPr>
        <w:t>大力倡导尊重知识、崇尚创新、诚信守法、公平竞争的知识产权文化理念，讲好知识产权司法保</w:t>
      </w:r>
      <w:r>
        <w:rPr>
          <w:rFonts w:ascii="Times New Roman" w:eastAsia="仿宋_GB2312" w:hAnsi="Times New Roman" w:cs="Times New Roman"/>
          <w:sz w:val="32"/>
          <w:szCs w:val="32"/>
        </w:rPr>
        <w:lastRenderedPageBreak/>
        <w:t>护江苏故事。积极运营官方</w:t>
      </w:r>
      <w:proofErr w:type="gramStart"/>
      <w:r>
        <w:rPr>
          <w:rFonts w:ascii="Times New Roman" w:eastAsia="仿宋_GB2312" w:hAnsi="Times New Roman" w:cs="Times New Roman"/>
          <w:sz w:val="32"/>
          <w:szCs w:val="32"/>
        </w:rPr>
        <w:t>微信公众号</w:t>
      </w:r>
      <w:proofErr w:type="gramEnd"/>
      <w:r>
        <w:rPr>
          <w:rFonts w:ascii="Times New Roman" w:eastAsia="仿宋_GB2312" w:hAnsi="Times New Roman" w:cs="Times New Roman"/>
          <w:sz w:val="32"/>
          <w:szCs w:val="32"/>
        </w:rPr>
        <w:t>“</w:t>
      </w:r>
      <w:r>
        <w:rPr>
          <w:rFonts w:ascii="Times New Roman" w:eastAsia="仿宋_GB2312" w:hAnsi="Times New Roman" w:cs="Times New Roman"/>
          <w:sz w:val="32"/>
          <w:szCs w:val="32"/>
        </w:rPr>
        <w:t>江苏知产视野</w:t>
      </w:r>
      <w:r>
        <w:rPr>
          <w:rFonts w:ascii="Times New Roman" w:eastAsia="仿宋_GB2312" w:hAnsi="Times New Roman" w:cs="Times New Roman"/>
          <w:sz w:val="32"/>
          <w:szCs w:val="32"/>
        </w:rPr>
        <w:t>”</w:t>
      </w:r>
      <w:r>
        <w:rPr>
          <w:rFonts w:ascii="Times New Roman" w:eastAsia="仿宋_GB2312" w:hAnsi="Times New Roman" w:cs="Times New Roman"/>
          <w:sz w:val="32"/>
          <w:szCs w:val="32"/>
        </w:rPr>
        <w:t>，并通过省相关部门平台及时向社会传递反垄断、反不正当竞争等司法政策和典型案例。公众</w:t>
      </w:r>
      <w:proofErr w:type="gramStart"/>
      <w:r>
        <w:rPr>
          <w:rFonts w:ascii="Times New Roman" w:eastAsia="仿宋_GB2312" w:hAnsi="Times New Roman" w:cs="Times New Roman"/>
          <w:sz w:val="32"/>
          <w:szCs w:val="32"/>
        </w:rPr>
        <w:t>号设立</w:t>
      </w:r>
      <w:proofErr w:type="gramEnd"/>
      <w:r>
        <w:rPr>
          <w:rFonts w:ascii="Times New Roman" w:eastAsia="仿宋_GB2312" w:hAnsi="Times New Roman" w:cs="Times New Roman"/>
          <w:sz w:val="32"/>
          <w:szCs w:val="32"/>
        </w:rPr>
        <w:t>以来已更新</w:t>
      </w:r>
      <w:r>
        <w:rPr>
          <w:rFonts w:ascii="Times New Roman" w:eastAsia="仿宋_GB2312" w:hAnsi="Times New Roman" w:cs="Times New Roman"/>
          <w:sz w:val="32"/>
          <w:szCs w:val="32"/>
        </w:rPr>
        <w:t>250</w:t>
      </w:r>
      <w:r>
        <w:rPr>
          <w:rFonts w:ascii="Times New Roman" w:eastAsia="仿宋_GB2312" w:hAnsi="Times New Roman" w:cs="Times New Roman"/>
          <w:sz w:val="32"/>
          <w:szCs w:val="32"/>
        </w:rPr>
        <w:t>余期，刊登典型案例</w:t>
      </w:r>
      <w:r>
        <w:rPr>
          <w:rFonts w:ascii="Times New Roman" w:eastAsia="仿宋_GB2312" w:hAnsi="Times New Roman" w:cs="Times New Roman"/>
          <w:sz w:val="32"/>
          <w:szCs w:val="32"/>
        </w:rPr>
        <w:t>230</w:t>
      </w:r>
      <w:r>
        <w:rPr>
          <w:rFonts w:ascii="Times New Roman" w:eastAsia="仿宋_GB2312" w:hAnsi="Times New Roman" w:cs="Times New Roman"/>
          <w:sz w:val="32"/>
          <w:szCs w:val="32"/>
        </w:rPr>
        <w:t>篇，产生广泛影响。近三年来，通过《人民日报》《法治日报》</w:t>
      </w:r>
      <w:r>
        <w:rPr>
          <w:rFonts w:ascii="Times New Roman" w:eastAsia="仿宋_GB2312" w:hAnsi="Times New Roman" w:cs="Times New Roman" w:hint="eastAsia"/>
          <w:sz w:val="32"/>
          <w:szCs w:val="32"/>
        </w:rPr>
        <w:t>《人民法院报》</w:t>
      </w:r>
      <w:r>
        <w:rPr>
          <w:rFonts w:ascii="Times New Roman" w:eastAsia="仿宋_GB2312" w:hAnsi="Times New Roman" w:cs="Times New Roman"/>
          <w:sz w:val="32"/>
          <w:szCs w:val="32"/>
        </w:rPr>
        <w:t>等省级以上媒体宣传报道江苏法院反垄断反不正当竞争司法工作等稿件近百篇。</w:t>
      </w:r>
    </w:p>
    <w:p w:rsidR="00F36605" w:rsidRDefault="00FB2B05">
      <w:pPr>
        <w:spacing w:line="336" w:lineRule="auto"/>
        <w:ind w:firstLineChars="200" w:firstLine="640"/>
        <w:rPr>
          <w:rFonts w:ascii="Times New Roman" w:eastAsia="仿宋_GB2312" w:hAnsi="Times New Roman" w:cs="Times New Roman"/>
          <w:sz w:val="32"/>
          <w:szCs w:val="32"/>
        </w:rPr>
      </w:pPr>
      <w:r>
        <w:rPr>
          <w:rFonts w:ascii="Times New Roman" w:eastAsia="楷体" w:hAnsi="Times New Roman" w:cs="Times New Roman"/>
          <w:sz w:val="32"/>
          <w:szCs w:val="32"/>
        </w:rPr>
        <w:t>四是积极提出司法建议，</w:t>
      </w:r>
      <w:r>
        <w:rPr>
          <w:rFonts w:ascii="Times New Roman" w:eastAsia="楷体" w:hAnsi="Times New Roman" w:cs="Times New Roman" w:hint="eastAsia"/>
          <w:sz w:val="32"/>
          <w:szCs w:val="32"/>
        </w:rPr>
        <w:t>为</w:t>
      </w:r>
      <w:r w:rsidR="000F7A56">
        <w:rPr>
          <w:rFonts w:ascii="Times New Roman" w:eastAsia="楷体" w:hAnsi="Times New Roman" w:cs="Times New Roman"/>
          <w:sz w:val="32"/>
          <w:szCs w:val="32"/>
        </w:rPr>
        <w:t>综合治理</w:t>
      </w:r>
      <w:r>
        <w:rPr>
          <w:rFonts w:ascii="Times New Roman" w:eastAsia="楷体" w:hAnsi="Times New Roman" w:cs="Times New Roman" w:hint="eastAsia"/>
          <w:sz w:val="32"/>
          <w:szCs w:val="32"/>
        </w:rPr>
        <w:t>建</w:t>
      </w:r>
      <w:r>
        <w:rPr>
          <w:rFonts w:ascii="Times New Roman" w:eastAsia="楷体" w:hAnsi="Times New Roman" w:cs="Times New Roman"/>
          <w:sz w:val="32"/>
          <w:szCs w:val="32"/>
        </w:rPr>
        <w:t>言献策</w:t>
      </w:r>
      <w:r w:rsidR="000F7A56">
        <w:rPr>
          <w:rFonts w:ascii="Times New Roman" w:eastAsia="楷体" w:hAnsi="Times New Roman" w:cs="Times New Roman"/>
          <w:sz w:val="32"/>
          <w:szCs w:val="32"/>
        </w:rPr>
        <w:t>。</w:t>
      </w:r>
      <w:r w:rsidR="00AB2A09">
        <w:rPr>
          <w:rFonts w:ascii="仿宋_GB2312" w:eastAsia="仿宋_GB2312" w:hAnsi="Times New Roman" w:cs="Times New Roman" w:hint="eastAsia"/>
          <w:sz w:val="32"/>
          <w:szCs w:val="32"/>
        </w:rPr>
        <w:t>各级法院针对司法实践中出现的涉不公平竞争问题</w:t>
      </w:r>
      <w:r w:rsidR="00AB2A09" w:rsidRPr="00F14B43">
        <w:rPr>
          <w:rFonts w:ascii="仿宋_GB2312" w:eastAsia="仿宋_GB2312" w:hAnsi="Times New Roman" w:cs="Times New Roman" w:hint="eastAsia"/>
          <w:sz w:val="32"/>
          <w:szCs w:val="32"/>
        </w:rPr>
        <w:t>，及时向党委报告，向有关单位和部门通报、建议。省法院</w:t>
      </w:r>
      <w:r w:rsidR="00AB2A09">
        <w:rPr>
          <w:rFonts w:ascii="Times New Roman" w:eastAsia="楷体" w:hAnsi="Times New Roman" w:cs="Times New Roman" w:hint="eastAsia"/>
          <w:sz w:val="32"/>
          <w:szCs w:val="32"/>
        </w:rPr>
        <w:t>针</w:t>
      </w:r>
      <w:r w:rsidR="00AB2A09">
        <w:rPr>
          <w:rFonts w:ascii="Times New Roman" w:eastAsia="仿宋_GB2312" w:hAnsi="Times New Roman" w:cs="Times New Roman"/>
          <w:sz w:val="32"/>
          <w:szCs w:val="32"/>
        </w:rPr>
        <w:t>对恶意抢注、恶意攀附、恶意投诉等</w:t>
      </w:r>
      <w:proofErr w:type="gramStart"/>
      <w:r w:rsidR="00AB2A09">
        <w:rPr>
          <w:rFonts w:ascii="Times New Roman" w:eastAsia="仿宋_GB2312" w:hAnsi="Times New Roman" w:cs="Times New Roman"/>
          <w:sz w:val="32"/>
          <w:szCs w:val="32"/>
        </w:rPr>
        <w:t>不</w:t>
      </w:r>
      <w:proofErr w:type="gramEnd"/>
      <w:r w:rsidR="00AB2A09">
        <w:rPr>
          <w:rFonts w:ascii="Times New Roman" w:eastAsia="仿宋_GB2312" w:hAnsi="Times New Roman" w:cs="Times New Roman"/>
          <w:sz w:val="32"/>
          <w:szCs w:val="32"/>
        </w:rPr>
        <w:t>诚信行为开展专题调研，向省委报送《关于推进知识产权诚信体系建设、营造国际一流营商环境的报告》</w:t>
      </w:r>
      <w:r w:rsidR="00AB2A09">
        <w:rPr>
          <w:rFonts w:ascii="Times New Roman" w:eastAsia="仿宋_GB2312" w:hAnsi="Times New Roman" w:cs="Times New Roman" w:hint="eastAsia"/>
          <w:sz w:val="32"/>
          <w:szCs w:val="32"/>
        </w:rPr>
        <w:t>。</w:t>
      </w:r>
      <w:r w:rsidR="000F7A56">
        <w:rPr>
          <w:rFonts w:ascii="Times New Roman" w:eastAsia="仿宋_GB2312" w:hAnsi="Times New Roman" w:cs="Times New Roman"/>
          <w:sz w:val="32"/>
          <w:szCs w:val="32"/>
        </w:rPr>
        <w:t>针对某科技公司将众多知名注册商标设置为搜索关键词，引导消费者至其经营网站，</w:t>
      </w:r>
      <w:r w:rsidR="00AB2A09">
        <w:rPr>
          <w:rFonts w:ascii="Times New Roman" w:eastAsia="仿宋_GB2312" w:hAnsi="Times New Roman" w:cs="Times New Roman" w:hint="eastAsia"/>
          <w:sz w:val="32"/>
          <w:szCs w:val="32"/>
        </w:rPr>
        <w:t>严重</w:t>
      </w:r>
      <w:r w:rsidR="00864F63">
        <w:rPr>
          <w:rFonts w:ascii="Times New Roman" w:eastAsia="仿宋_GB2312" w:hAnsi="Times New Roman" w:cs="Times New Roman"/>
          <w:sz w:val="32"/>
          <w:szCs w:val="32"/>
        </w:rPr>
        <w:t>扰乱互联网竞争秩序的</w:t>
      </w:r>
      <w:r w:rsidR="00864F63">
        <w:rPr>
          <w:rFonts w:ascii="Times New Roman" w:eastAsia="仿宋_GB2312" w:hAnsi="Times New Roman" w:cs="Times New Roman" w:hint="eastAsia"/>
          <w:sz w:val="32"/>
          <w:szCs w:val="32"/>
        </w:rPr>
        <w:t>行</w:t>
      </w:r>
      <w:r w:rsidR="00864F63">
        <w:rPr>
          <w:rFonts w:ascii="Times New Roman" w:eastAsia="仿宋_GB2312" w:hAnsi="Times New Roman" w:cs="Times New Roman"/>
          <w:sz w:val="32"/>
          <w:szCs w:val="32"/>
        </w:rPr>
        <w:t>为</w:t>
      </w:r>
      <w:r w:rsidR="000F7A56">
        <w:rPr>
          <w:rFonts w:ascii="Times New Roman" w:eastAsia="仿宋_GB2312" w:hAnsi="Times New Roman" w:cs="Times New Roman"/>
          <w:sz w:val="32"/>
          <w:szCs w:val="32"/>
        </w:rPr>
        <w:t>，向相关部委发送司法建议，建议加强对搜索引擎服务行业的监管，以及对违法侵权行为的技术监测和打击力度。在</w:t>
      </w:r>
      <w:proofErr w:type="gramStart"/>
      <w:r w:rsidR="000F7A56">
        <w:rPr>
          <w:rFonts w:ascii="Times New Roman" w:eastAsia="仿宋_GB2312" w:hAnsi="Times New Roman" w:cs="Times New Roman"/>
          <w:sz w:val="32"/>
          <w:szCs w:val="32"/>
        </w:rPr>
        <w:t>涉</w:t>
      </w:r>
      <w:r w:rsidR="000F7A56">
        <w:rPr>
          <w:rFonts w:ascii="Times New Roman" w:eastAsia="仿宋_GB2312" w:hAnsi="Times New Roman" w:cs="Times New Roman"/>
          <w:bCs/>
          <w:sz w:val="32"/>
          <w:szCs w:val="32"/>
        </w:rPr>
        <w:t>邀玩</w:t>
      </w:r>
      <w:proofErr w:type="gramEnd"/>
      <w:r w:rsidR="000F7A56">
        <w:rPr>
          <w:rFonts w:ascii="Times New Roman" w:eastAsia="仿宋_GB2312" w:hAnsi="Times New Roman" w:cs="Times New Roman"/>
          <w:bCs/>
          <w:sz w:val="32"/>
          <w:szCs w:val="32"/>
        </w:rPr>
        <w:t>网络公司侵害商标权及不正当竞争纠纷案中，</w:t>
      </w:r>
      <w:r w:rsidR="000F7A56">
        <w:rPr>
          <w:rFonts w:ascii="Times New Roman" w:eastAsia="仿宋_GB2312" w:hAnsi="Times New Roman" w:cs="Times New Roman"/>
          <w:sz w:val="32"/>
          <w:szCs w:val="32"/>
        </w:rPr>
        <w:t>南京知识产权法庭针对</w:t>
      </w:r>
      <w:r w:rsidR="000F7A56">
        <w:rPr>
          <w:rFonts w:ascii="Times New Roman" w:eastAsia="仿宋_GB2312" w:hAnsi="Times New Roman" w:cs="Times New Roman"/>
          <w:sz w:val="32"/>
          <w:szCs w:val="32"/>
        </w:rPr>
        <w:t>“</w:t>
      </w:r>
      <w:r w:rsidR="000F7A56">
        <w:rPr>
          <w:rFonts w:ascii="Times New Roman" w:eastAsia="仿宋_GB2312" w:hAnsi="Times New Roman" w:cs="Times New Roman"/>
          <w:sz w:val="32"/>
          <w:szCs w:val="32"/>
        </w:rPr>
        <w:t>华为应用市场</w:t>
      </w:r>
      <w:r w:rsidR="000F7A56">
        <w:rPr>
          <w:rFonts w:ascii="Times New Roman" w:eastAsia="仿宋_GB2312" w:hAnsi="Times New Roman" w:cs="Times New Roman"/>
          <w:sz w:val="32"/>
          <w:szCs w:val="32"/>
        </w:rPr>
        <w:t>”</w:t>
      </w:r>
      <w:r w:rsidR="000F7A56">
        <w:rPr>
          <w:rFonts w:ascii="Times New Roman" w:eastAsia="仿宋_GB2312" w:hAnsi="Times New Roman" w:cs="Times New Roman"/>
          <w:sz w:val="32"/>
          <w:szCs w:val="32"/>
        </w:rPr>
        <w:t>平台对游戏软件上架审核及运行管理中存在的问题，向华为软件公司发送司法建议。华为管理层高度重视，积极回复，并采取多项改进措施。在涉</w:t>
      </w:r>
      <w:r w:rsidR="000F7A56">
        <w:rPr>
          <w:rFonts w:ascii="Times New Roman" w:eastAsia="仿宋_GB2312" w:hAnsi="Times New Roman" w:cs="Times New Roman"/>
          <w:sz w:val="32"/>
          <w:szCs w:val="32"/>
        </w:rPr>
        <w:t>“</w:t>
      </w:r>
      <w:r w:rsidR="000F7A56">
        <w:rPr>
          <w:rFonts w:ascii="Times New Roman" w:eastAsia="仿宋_GB2312" w:hAnsi="Times New Roman" w:cs="Times New Roman"/>
          <w:sz w:val="32"/>
          <w:szCs w:val="32"/>
        </w:rPr>
        <w:t>大自然</w:t>
      </w:r>
      <w:r w:rsidR="000F7A56">
        <w:rPr>
          <w:rFonts w:ascii="Times New Roman" w:eastAsia="仿宋_GB2312" w:hAnsi="Times New Roman" w:cs="Times New Roman"/>
          <w:sz w:val="32"/>
          <w:szCs w:val="32"/>
        </w:rPr>
        <w:t>”</w:t>
      </w:r>
      <w:r w:rsidR="000F7A56">
        <w:rPr>
          <w:rFonts w:ascii="Times New Roman" w:eastAsia="仿宋_GB2312" w:hAnsi="Times New Roman" w:cs="Times New Roman"/>
          <w:sz w:val="32"/>
          <w:szCs w:val="32"/>
        </w:rPr>
        <w:t>地板商标侵权及不正当竞争纠纷案中，苏州知识产权法庭向国家知识产权局发送司法建议，推动建立全流程打击恶意注册商标工作机制；并向中华地板网、中华</w:t>
      </w:r>
      <w:proofErr w:type="gramStart"/>
      <w:r w:rsidR="000F7A56">
        <w:rPr>
          <w:rFonts w:ascii="Times New Roman" w:eastAsia="仿宋_GB2312" w:hAnsi="Times New Roman" w:cs="Times New Roman"/>
          <w:sz w:val="32"/>
          <w:szCs w:val="32"/>
        </w:rPr>
        <w:t>建材网</w:t>
      </w:r>
      <w:proofErr w:type="gramEnd"/>
      <w:r w:rsidR="000F7A56">
        <w:rPr>
          <w:rFonts w:ascii="Times New Roman" w:eastAsia="仿宋_GB2312" w:hAnsi="Times New Roman" w:cs="Times New Roman"/>
          <w:sz w:val="32"/>
          <w:szCs w:val="32"/>
        </w:rPr>
        <w:t>等平台发送司法建议，建设性提出探索构建知名品牌地板红名单制</w:t>
      </w:r>
      <w:r w:rsidR="000F7A56">
        <w:rPr>
          <w:rFonts w:ascii="Times New Roman" w:eastAsia="仿宋_GB2312" w:hAnsi="Times New Roman" w:cs="Times New Roman"/>
          <w:sz w:val="32"/>
          <w:szCs w:val="32"/>
        </w:rPr>
        <w:lastRenderedPageBreak/>
        <w:t>度、建立健全网络平台数据巡查、审核和投诉机制等，从源头上减少侵权行为发生，《人民法院报》等媒体报道。镇江中院针对冒用他人知名企业字号注册域名从事违法活动等情况，向省有关单位发送</w:t>
      </w:r>
      <w:r w:rsidR="000F7A56">
        <w:rPr>
          <w:rFonts w:ascii="Times New Roman" w:eastAsia="仿宋_GB2312" w:hAnsi="Times New Roman" w:cs="Times New Roman"/>
          <w:sz w:val="32"/>
          <w:szCs w:val="32"/>
        </w:rPr>
        <w:t>“</w:t>
      </w:r>
      <w:r w:rsidR="000F7A56">
        <w:rPr>
          <w:rFonts w:ascii="Times New Roman" w:eastAsia="仿宋_GB2312" w:hAnsi="Times New Roman" w:cs="Times New Roman"/>
          <w:sz w:val="32"/>
          <w:szCs w:val="32"/>
        </w:rPr>
        <w:t>建立信息共享机制，从严审核域名备案资料</w:t>
      </w:r>
      <w:r w:rsidR="000F7A56">
        <w:rPr>
          <w:rFonts w:ascii="Times New Roman" w:eastAsia="仿宋_GB2312" w:hAnsi="Times New Roman" w:cs="Times New Roman"/>
          <w:sz w:val="32"/>
          <w:szCs w:val="32"/>
        </w:rPr>
        <w:t>”</w:t>
      </w:r>
      <w:r w:rsidR="000F7A56">
        <w:rPr>
          <w:rFonts w:ascii="Times New Roman" w:eastAsia="仿宋_GB2312" w:hAnsi="Times New Roman" w:cs="Times New Roman"/>
          <w:sz w:val="32"/>
          <w:szCs w:val="32"/>
        </w:rPr>
        <w:t>的司法建议。苏州吴江法院建议</w:t>
      </w:r>
      <w:r w:rsidR="000F7A56">
        <w:rPr>
          <w:rFonts w:ascii="Times New Roman" w:eastAsia="仿宋_GB2312" w:hAnsi="Times New Roman" w:cs="Times New Roman"/>
          <w:sz w:val="32"/>
          <w:szCs w:val="32"/>
        </w:rPr>
        <w:t>360</w:t>
      </w:r>
      <w:r w:rsidR="000F7A56">
        <w:rPr>
          <w:rFonts w:ascii="Times New Roman" w:eastAsia="仿宋_GB2312" w:hAnsi="Times New Roman" w:cs="Times New Roman"/>
          <w:sz w:val="32"/>
          <w:szCs w:val="32"/>
        </w:rPr>
        <w:t>搜索引擎运营</w:t>
      </w:r>
      <w:proofErr w:type="gramStart"/>
      <w:r w:rsidR="000F7A56">
        <w:rPr>
          <w:rFonts w:ascii="Times New Roman" w:eastAsia="仿宋_GB2312" w:hAnsi="Times New Roman" w:cs="Times New Roman"/>
          <w:sz w:val="32"/>
          <w:szCs w:val="32"/>
        </w:rPr>
        <w:t>方规范</w:t>
      </w:r>
      <w:proofErr w:type="gramEnd"/>
      <w:r w:rsidR="000F7A56">
        <w:rPr>
          <w:rFonts w:ascii="Times New Roman" w:eastAsia="仿宋_GB2312" w:hAnsi="Times New Roman" w:cs="Times New Roman"/>
          <w:sz w:val="32"/>
          <w:szCs w:val="32"/>
        </w:rPr>
        <w:t>关键词搜索推广服务，得到北京奇虎科技有限公司高度重视和积极回应。</w:t>
      </w:r>
    </w:p>
    <w:p w:rsidR="00AB2A09" w:rsidRDefault="00AB2A09" w:rsidP="00AB2A09">
      <w:pPr>
        <w:spacing w:line="336" w:lineRule="auto"/>
        <w:ind w:firstLineChars="200" w:firstLine="640"/>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t>下一步，全省法院将深入学习贯彻党的二十大精神，按照“加强反垄断和反不正当竞争”的要求，进一步强化反垄断和反不正当竞争各项工作措施，并着力推进以下工作：</w:t>
      </w:r>
      <w:r w:rsidRPr="00CF514D">
        <w:rPr>
          <w:rFonts w:ascii="黑体" w:eastAsia="黑体" w:hAnsi="黑体" w:cs="Times New Roman" w:hint="eastAsia"/>
          <w:sz w:val="32"/>
          <w:szCs w:val="32"/>
        </w:rPr>
        <w:t>一是</w:t>
      </w:r>
      <w:r>
        <w:rPr>
          <w:rFonts w:ascii="Times New Roman" w:eastAsia="仿宋_GB2312" w:hAnsi="Times New Roman" w:cs="Times New Roman" w:hint="eastAsia"/>
          <w:sz w:val="32"/>
          <w:szCs w:val="32"/>
        </w:rPr>
        <w:t>针对商业秘密纠纷调查取证难、保密要求高、处理难度大等特点，进一步联合省检察院、省公安厅等加强联合调研，出台指导性意见，强化商业秘密刑事保护。</w:t>
      </w:r>
      <w:r w:rsidRPr="00CF514D">
        <w:rPr>
          <w:rFonts w:ascii="黑体" w:eastAsia="黑体" w:hAnsi="黑体" w:cs="Times New Roman" w:hint="eastAsia"/>
          <w:sz w:val="32"/>
          <w:szCs w:val="32"/>
        </w:rPr>
        <w:t>二是</w:t>
      </w:r>
      <w:r>
        <w:rPr>
          <w:rFonts w:ascii="Times New Roman" w:eastAsia="仿宋_GB2312" w:hAnsi="Times New Roman" w:cs="Times New Roman" w:hint="eastAsia"/>
          <w:sz w:val="32"/>
          <w:szCs w:val="32"/>
        </w:rPr>
        <w:t>针对垄断和不正当竞争案件中反映出的诚信和良善缺失问题，按照习近平总书记要“理直气壮、很自豪的去做这件事”的要求，大力弘扬中华优秀传统文化，主动深化源头治理。以组织开展“中华优秀传统文化与知识产权保护”专题研讨等方式，引导法官重视</w:t>
      </w:r>
      <w:r w:rsidR="00121624">
        <w:rPr>
          <w:rFonts w:ascii="Times New Roman" w:eastAsia="仿宋_GB2312" w:hAnsi="Times New Roman" w:cs="Times New Roman" w:hint="eastAsia"/>
          <w:sz w:val="32"/>
          <w:szCs w:val="32"/>
        </w:rPr>
        <w:t>将中华优秀传统文化融入司法，以蕴含中华优秀传统文化的司法裁判引领</w:t>
      </w:r>
      <w:bookmarkStart w:id="0" w:name="_GoBack"/>
      <w:bookmarkEnd w:id="0"/>
      <w:r>
        <w:rPr>
          <w:rFonts w:ascii="Times New Roman" w:eastAsia="仿宋_GB2312" w:hAnsi="Times New Roman" w:cs="Times New Roman" w:hint="eastAsia"/>
          <w:sz w:val="32"/>
          <w:szCs w:val="32"/>
        </w:rPr>
        <w:t>社会，推动形成向善、向好、向上的社会氛围。努力以高质量司法推动高质量发展，为人类社会全面进步</w:t>
      </w:r>
      <w:proofErr w:type="gramStart"/>
      <w:r>
        <w:rPr>
          <w:rFonts w:ascii="Times New Roman" w:eastAsia="仿宋_GB2312" w:hAnsi="Times New Roman" w:cs="Times New Roman" w:hint="eastAsia"/>
          <w:sz w:val="32"/>
          <w:szCs w:val="32"/>
        </w:rPr>
        <w:t>作出</w:t>
      </w:r>
      <w:proofErr w:type="gramEnd"/>
      <w:r>
        <w:rPr>
          <w:rFonts w:ascii="Times New Roman" w:eastAsia="仿宋_GB2312" w:hAnsi="Times New Roman" w:cs="Times New Roman" w:hint="eastAsia"/>
          <w:sz w:val="32"/>
          <w:szCs w:val="32"/>
        </w:rPr>
        <w:t>司法应有的贡献。</w:t>
      </w:r>
    </w:p>
    <w:p w:rsidR="00F36605" w:rsidRPr="00AB2A09" w:rsidRDefault="00F36605" w:rsidP="007F027C">
      <w:pPr>
        <w:spacing w:line="336" w:lineRule="auto"/>
        <w:ind w:firstLineChars="200" w:firstLine="640"/>
        <w:rPr>
          <w:rFonts w:ascii="Times New Roman" w:eastAsia="仿宋_GB2312" w:hAnsi="Times New Roman" w:cs="Times New Roman"/>
          <w:sz w:val="32"/>
          <w:szCs w:val="32"/>
        </w:rPr>
      </w:pPr>
    </w:p>
    <w:sectPr w:rsidR="00F36605" w:rsidRPr="00AB2A09">
      <w:footerReference w:type="default" r:id="rId10"/>
      <w:pgSz w:w="11906" w:h="16838"/>
      <w:pgMar w:top="2268" w:right="1418" w:bottom="1701" w:left="1418" w:header="851" w:footer="992" w:gutter="0"/>
      <w:cols w:space="425"/>
      <w:docGrid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D80D27" w:rsidRDefault="00D80D27">
      <w:r>
        <w:separator/>
      </w:r>
    </w:p>
  </w:endnote>
  <w:endnote w:type="continuationSeparator" w:id="0">
    <w:p w:rsidR="00D80D27" w:rsidRDefault="00D80D2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2A87" w:usb1="80000000" w:usb2="00000008"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A00002EF" w:usb1="4000207B" w:usb2="00000000" w:usb3="00000000" w:csb0="0000009F" w:csb1="00000000"/>
  </w:font>
  <w:font w:name="Arial">
    <w:panose1 w:val="020B0604020202020204"/>
    <w:charset w:val="00"/>
    <w:family w:val="swiss"/>
    <w:pitch w:val="variable"/>
    <w:sig w:usb0="20002A87" w:usb1="80000000" w:usb2="00000008" w:usb3="00000000" w:csb0="000001FF" w:csb1="00000000"/>
  </w:font>
  <w:font w:name="方正小标宋简体">
    <w:altName w:val="方正舒体"/>
    <w:panose1 w:val="02010601030101010101"/>
    <w:charset w:val="86"/>
    <w:family w:val="script"/>
    <w:pitch w:val="fixed"/>
    <w:sig w:usb0="00000001" w:usb1="080E0000" w:usb2="00000010" w:usb3="00000000" w:csb0="00040000" w:csb1="00000000"/>
  </w:font>
  <w:font w:name="楷体">
    <w:panose1 w:val="02010609060101010101"/>
    <w:charset w:val="86"/>
    <w:family w:val="modern"/>
    <w:pitch w:val="fixed"/>
    <w:sig w:usb0="800002BF" w:usb1="38CF7CFA" w:usb2="00000016" w:usb3="00000000" w:csb0="00040001" w:csb1="00000000"/>
  </w:font>
  <w:font w:name="仿宋_GB2312">
    <w:altName w:val="仿宋"/>
    <w:panose1 w:val="02010609030101010101"/>
    <w:charset w:val="86"/>
    <w:family w:val="modern"/>
    <w:pitch w:val="fixed"/>
    <w:sig w:usb0="00000001" w:usb1="080E0000" w:usb2="00000010" w:usb3="00000000" w:csb0="00040000" w:csb1="00000000"/>
  </w:font>
  <w:font w:name="黑体">
    <w:altName w:val="SimHei"/>
    <w:panose1 w:val="02010600030101010101"/>
    <w:charset w:val="86"/>
    <w:family w:val="auto"/>
    <w:pitch w:val="variable"/>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29107260"/>
    </w:sdtPr>
    <w:sdtEndPr/>
    <w:sdtContent>
      <w:p w:rsidR="00F36605" w:rsidRDefault="000F7A56">
        <w:pPr>
          <w:pStyle w:val="a5"/>
          <w:jc w:val="center"/>
        </w:pPr>
        <w:r>
          <w:fldChar w:fldCharType="begin"/>
        </w:r>
        <w:r>
          <w:instrText xml:space="preserve"> PAGE   \* MERGEFORMAT </w:instrText>
        </w:r>
        <w:r>
          <w:fldChar w:fldCharType="separate"/>
        </w:r>
        <w:r w:rsidR="00121624" w:rsidRPr="00121624">
          <w:rPr>
            <w:noProof/>
            <w:lang w:val="zh-CN"/>
          </w:rPr>
          <w:t>12</w:t>
        </w:r>
        <w:r>
          <w:rPr>
            <w:lang w:val="zh-CN"/>
          </w:rPr>
          <w:fldChar w:fldCharType="end"/>
        </w:r>
      </w:p>
    </w:sdtContent>
  </w:sdt>
  <w:p w:rsidR="00F36605" w:rsidRDefault="00F36605">
    <w:pPr>
      <w:pStyle w:val="a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D80D27" w:rsidRDefault="00D80D27">
      <w:r>
        <w:separator/>
      </w:r>
    </w:p>
  </w:footnote>
  <w:footnote w:type="continuationSeparator" w:id="0">
    <w:p w:rsidR="00D80D27" w:rsidRDefault="00D80D27">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proofState w:spelling="clean" w:grammar="clean"/>
  <w:defaultTabStop w:val="420"/>
  <w:drawingGridHorizontalSpacing w:val="105"/>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2"/>
  </w:compat>
  <w:docVars>
    <w:docVar w:name="commondata" w:val="eyJoZGlkIjoiMTlmMmFlODc3MGNhYzUzMmVmNWI4ZTZjZDk3NjIyYjcifQ=="/>
    <w:docVar w:name="KSO_WPS_MARK_KEY" w:val="eb4431ee-61b6-4357-b384-8f93f23eb6e1"/>
  </w:docVars>
  <w:rsids>
    <w:rsidRoot w:val="00B65F99"/>
    <w:rsid w:val="000032F1"/>
    <w:rsid w:val="0000472A"/>
    <w:rsid w:val="0001110F"/>
    <w:rsid w:val="00016C09"/>
    <w:rsid w:val="000171DB"/>
    <w:rsid w:val="00020733"/>
    <w:rsid w:val="000258DB"/>
    <w:rsid w:val="0003374D"/>
    <w:rsid w:val="00036E12"/>
    <w:rsid w:val="000372D7"/>
    <w:rsid w:val="00040530"/>
    <w:rsid w:val="0004722C"/>
    <w:rsid w:val="000502DD"/>
    <w:rsid w:val="000610F3"/>
    <w:rsid w:val="000610F6"/>
    <w:rsid w:val="00061CCC"/>
    <w:rsid w:val="00067E62"/>
    <w:rsid w:val="00071C0E"/>
    <w:rsid w:val="00086C2B"/>
    <w:rsid w:val="000922B5"/>
    <w:rsid w:val="000A23A5"/>
    <w:rsid w:val="000A7D66"/>
    <w:rsid w:val="000A7E6C"/>
    <w:rsid w:val="000B0BB0"/>
    <w:rsid w:val="000C301B"/>
    <w:rsid w:val="000C4C02"/>
    <w:rsid w:val="000C6AD2"/>
    <w:rsid w:val="000D2CB9"/>
    <w:rsid w:val="000E3160"/>
    <w:rsid w:val="000E4BD7"/>
    <w:rsid w:val="000F1ECC"/>
    <w:rsid w:val="000F37E3"/>
    <w:rsid w:val="000F6270"/>
    <w:rsid w:val="000F7A56"/>
    <w:rsid w:val="00100670"/>
    <w:rsid w:val="001052B9"/>
    <w:rsid w:val="00110065"/>
    <w:rsid w:val="00110F78"/>
    <w:rsid w:val="00113DBE"/>
    <w:rsid w:val="00114A1D"/>
    <w:rsid w:val="001175A0"/>
    <w:rsid w:val="00120381"/>
    <w:rsid w:val="00121624"/>
    <w:rsid w:val="00122D8F"/>
    <w:rsid w:val="0013483E"/>
    <w:rsid w:val="00136C67"/>
    <w:rsid w:val="00140071"/>
    <w:rsid w:val="00156458"/>
    <w:rsid w:val="00161B78"/>
    <w:rsid w:val="00164999"/>
    <w:rsid w:val="001A026D"/>
    <w:rsid w:val="001A0DD2"/>
    <w:rsid w:val="001A30AE"/>
    <w:rsid w:val="001A614B"/>
    <w:rsid w:val="001B7AC9"/>
    <w:rsid w:val="001C046A"/>
    <w:rsid w:val="001C2EE0"/>
    <w:rsid w:val="001C2FE9"/>
    <w:rsid w:val="001D7DD5"/>
    <w:rsid w:val="001E1C50"/>
    <w:rsid w:val="001E3E02"/>
    <w:rsid w:val="001E6A90"/>
    <w:rsid w:val="001F48B6"/>
    <w:rsid w:val="001F5DFF"/>
    <w:rsid w:val="00206CFD"/>
    <w:rsid w:val="00216FD5"/>
    <w:rsid w:val="002213B4"/>
    <w:rsid w:val="002240F0"/>
    <w:rsid w:val="00224487"/>
    <w:rsid w:val="00227D6C"/>
    <w:rsid w:val="002316B1"/>
    <w:rsid w:val="00243E1A"/>
    <w:rsid w:val="00261A13"/>
    <w:rsid w:val="00266140"/>
    <w:rsid w:val="00267857"/>
    <w:rsid w:val="002725AC"/>
    <w:rsid w:val="00275B61"/>
    <w:rsid w:val="002805F8"/>
    <w:rsid w:val="00283683"/>
    <w:rsid w:val="002914E5"/>
    <w:rsid w:val="002A3300"/>
    <w:rsid w:val="002B465B"/>
    <w:rsid w:val="002B7667"/>
    <w:rsid w:val="002C0ADC"/>
    <w:rsid w:val="002C526B"/>
    <w:rsid w:val="002C75C3"/>
    <w:rsid w:val="002F30DB"/>
    <w:rsid w:val="00301CAA"/>
    <w:rsid w:val="00313329"/>
    <w:rsid w:val="003140C9"/>
    <w:rsid w:val="00315B8E"/>
    <w:rsid w:val="003205A9"/>
    <w:rsid w:val="00320A1A"/>
    <w:rsid w:val="00325669"/>
    <w:rsid w:val="0035538D"/>
    <w:rsid w:val="00355453"/>
    <w:rsid w:val="00355982"/>
    <w:rsid w:val="0036351F"/>
    <w:rsid w:val="003731E5"/>
    <w:rsid w:val="00373563"/>
    <w:rsid w:val="00375DC2"/>
    <w:rsid w:val="00381040"/>
    <w:rsid w:val="003818C7"/>
    <w:rsid w:val="00382DEE"/>
    <w:rsid w:val="00382F1C"/>
    <w:rsid w:val="00384A60"/>
    <w:rsid w:val="00391C9A"/>
    <w:rsid w:val="0039304E"/>
    <w:rsid w:val="003A4DB8"/>
    <w:rsid w:val="003B0E53"/>
    <w:rsid w:val="003B3C88"/>
    <w:rsid w:val="003B4D63"/>
    <w:rsid w:val="003D64C9"/>
    <w:rsid w:val="003D695E"/>
    <w:rsid w:val="003E1D1E"/>
    <w:rsid w:val="003E63D5"/>
    <w:rsid w:val="003F72A0"/>
    <w:rsid w:val="003F7A3A"/>
    <w:rsid w:val="0040064C"/>
    <w:rsid w:val="00411A95"/>
    <w:rsid w:val="00413AB7"/>
    <w:rsid w:val="0042024C"/>
    <w:rsid w:val="00433227"/>
    <w:rsid w:val="00435C52"/>
    <w:rsid w:val="00443900"/>
    <w:rsid w:val="00472F64"/>
    <w:rsid w:val="004813F1"/>
    <w:rsid w:val="00492792"/>
    <w:rsid w:val="004A6D30"/>
    <w:rsid w:val="004C2FAA"/>
    <w:rsid w:val="004C3AF8"/>
    <w:rsid w:val="004C4F48"/>
    <w:rsid w:val="004D3840"/>
    <w:rsid w:val="004D49BA"/>
    <w:rsid w:val="004D5468"/>
    <w:rsid w:val="004E27C6"/>
    <w:rsid w:val="004E3319"/>
    <w:rsid w:val="004E42C7"/>
    <w:rsid w:val="004E4A52"/>
    <w:rsid w:val="004E7B3F"/>
    <w:rsid w:val="004F0269"/>
    <w:rsid w:val="004F27D2"/>
    <w:rsid w:val="00501C27"/>
    <w:rsid w:val="00515472"/>
    <w:rsid w:val="00522C78"/>
    <w:rsid w:val="00523504"/>
    <w:rsid w:val="00525098"/>
    <w:rsid w:val="00525394"/>
    <w:rsid w:val="00537C28"/>
    <w:rsid w:val="00537C67"/>
    <w:rsid w:val="00547F49"/>
    <w:rsid w:val="005772E2"/>
    <w:rsid w:val="00577C53"/>
    <w:rsid w:val="00577FF1"/>
    <w:rsid w:val="00581D02"/>
    <w:rsid w:val="005B384F"/>
    <w:rsid w:val="005C088A"/>
    <w:rsid w:val="005C14FF"/>
    <w:rsid w:val="005E14E4"/>
    <w:rsid w:val="005E35B6"/>
    <w:rsid w:val="005F0D4D"/>
    <w:rsid w:val="00604735"/>
    <w:rsid w:val="00605163"/>
    <w:rsid w:val="00607BBB"/>
    <w:rsid w:val="00610E48"/>
    <w:rsid w:val="006207E0"/>
    <w:rsid w:val="00625E17"/>
    <w:rsid w:val="00631D26"/>
    <w:rsid w:val="00636D5B"/>
    <w:rsid w:val="00661281"/>
    <w:rsid w:val="006636A7"/>
    <w:rsid w:val="00682751"/>
    <w:rsid w:val="0069651F"/>
    <w:rsid w:val="0069744B"/>
    <w:rsid w:val="006B08D4"/>
    <w:rsid w:val="006B1645"/>
    <w:rsid w:val="006B298E"/>
    <w:rsid w:val="006B535E"/>
    <w:rsid w:val="006B7DB3"/>
    <w:rsid w:val="006C0E47"/>
    <w:rsid w:val="006C6D78"/>
    <w:rsid w:val="006D1285"/>
    <w:rsid w:val="006D1C92"/>
    <w:rsid w:val="006D294E"/>
    <w:rsid w:val="006E6634"/>
    <w:rsid w:val="006F0C6D"/>
    <w:rsid w:val="006F2C96"/>
    <w:rsid w:val="00702E7A"/>
    <w:rsid w:val="0070455E"/>
    <w:rsid w:val="00704F68"/>
    <w:rsid w:val="00705144"/>
    <w:rsid w:val="007063E2"/>
    <w:rsid w:val="007069E9"/>
    <w:rsid w:val="00707F9F"/>
    <w:rsid w:val="00721511"/>
    <w:rsid w:val="0072521B"/>
    <w:rsid w:val="00737AEF"/>
    <w:rsid w:val="00747DB8"/>
    <w:rsid w:val="00751920"/>
    <w:rsid w:val="007541E4"/>
    <w:rsid w:val="0075447F"/>
    <w:rsid w:val="00763296"/>
    <w:rsid w:val="0076598D"/>
    <w:rsid w:val="007669A0"/>
    <w:rsid w:val="00777153"/>
    <w:rsid w:val="00783414"/>
    <w:rsid w:val="007858C4"/>
    <w:rsid w:val="00787C16"/>
    <w:rsid w:val="00792E62"/>
    <w:rsid w:val="007A2B16"/>
    <w:rsid w:val="007A376F"/>
    <w:rsid w:val="007A6246"/>
    <w:rsid w:val="007B2BA9"/>
    <w:rsid w:val="007B522C"/>
    <w:rsid w:val="007E17DD"/>
    <w:rsid w:val="007F027C"/>
    <w:rsid w:val="007F2357"/>
    <w:rsid w:val="007F36CD"/>
    <w:rsid w:val="007F5044"/>
    <w:rsid w:val="00801D0F"/>
    <w:rsid w:val="00812299"/>
    <w:rsid w:val="00813ABD"/>
    <w:rsid w:val="00824069"/>
    <w:rsid w:val="00832983"/>
    <w:rsid w:val="008336FF"/>
    <w:rsid w:val="0083582A"/>
    <w:rsid w:val="00835AAE"/>
    <w:rsid w:val="0084124C"/>
    <w:rsid w:val="00842EE5"/>
    <w:rsid w:val="0084439B"/>
    <w:rsid w:val="008607CA"/>
    <w:rsid w:val="0086156A"/>
    <w:rsid w:val="00864F63"/>
    <w:rsid w:val="00866882"/>
    <w:rsid w:val="00867844"/>
    <w:rsid w:val="00871D87"/>
    <w:rsid w:val="00886756"/>
    <w:rsid w:val="00893CF0"/>
    <w:rsid w:val="008C52F5"/>
    <w:rsid w:val="008D4A9D"/>
    <w:rsid w:val="008E0AE2"/>
    <w:rsid w:val="008E1491"/>
    <w:rsid w:val="008E2957"/>
    <w:rsid w:val="008E5F96"/>
    <w:rsid w:val="008E7D0E"/>
    <w:rsid w:val="008E7DD4"/>
    <w:rsid w:val="008F5396"/>
    <w:rsid w:val="008F5833"/>
    <w:rsid w:val="00907A11"/>
    <w:rsid w:val="00910DD5"/>
    <w:rsid w:val="0092278A"/>
    <w:rsid w:val="00923AF4"/>
    <w:rsid w:val="009266D7"/>
    <w:rsid w:val="00941FD0"/>
    <w:rsid w:val="00942E7B"/>
    <w:rsid w:val="009717E1"/>
    <w:rsid w:val="0097500B"/>
    <w:rsid w:val="00982832"/>
    <w:rsid w:val="00982A6F"/>
    <w:rsid w:val="00984772"/>
    <w:rsid w:val="00991091"/>
    <w:rsid w:val="00993799"/>
    <w:rsid w:val="0099521D"/>
    <w:rsid w:val="009A4738"/>
    <w:rsid w:val="009A50DB"/>
    <w:rsid w:val="009A7595"/>
    <w:rsid w:val="009C512B"/>
    <w:rsid w:val="009C54D2"/>
    <w:rsid w:val="009D204E"/>
    <w:rsid w:val="009E42E1"/>
    <w:rsid w:val="009E68BC"/>
    <w:rsid w:val="00A03B45"/>
    <w:rsid w:val="00A24651"/>
    <w:rsid w:val="00A25420"/>
    <w:rsid w:val="00A33883"/>
    <w:rsid w:val="00A34649"/>
    <w:rsid w:val="00A51C91"/>
    <w:rsid w:val="00A66B78"/>
    <w:rsid w:val="00A70B9D"/>
    <w:rsid w:val="00A869E0"/>
    <w:rsid w:val="00A9278D"/>
    <w:rsid w:val="00A9666E"/>
    <w:rsid w:val="00AA0A77"/>
    <w:rsid w:val="00AA454F"/>
    <w:rsid w:val="00AA7E4B"/>
    <w:rsid w:val="00AB04F3"/>
    <w:rsid w:val="00AB2A09"/>
    <w:rsid w:val="00AB655E"/>
    <w:rsid w:val="00AB7AB3"/>
    <w:rsid w:val="00AC1CBB"/>
    <w:rsid w:val="00AD3318"/>
    <w:rsid w:val="00AE2F9A"/>
    <w:rsid w:val="00AF0E9E"/>
    <w:rsid w:val="00AF0F69"/>
    <w:rsid w:val="00AF4BCB"/>
    <w:rsid w:val="00B137E2"/>
    <w:rsid w:val="00B20469"/>
    <w:rsid w:val="00B3079C"/>
    <w:rsid w:val="00B3475C"/>
    <w:rsid w:val="00B42F91"/>
    <w:rsid w:val="00B43754"/>
    <w:rsid w:val="00B5079C"/>
    <w:rsid w:val="00B52173"/>
    <w:rsid w:val="00B5549F"/>
    <w:rsid w:val="00B6061D"/>
    <w:rsid w:val="00B639A8"/>
    <w:rsid w:val="00B63E42"/>
    <w:rsid w:val="00B6524A"/>
    <w:rsid w:val="00B65F99"/>
    <w:rsid w:val="00B66616"/>
    <w:rsid w:val="00B82113"/>
    <w:rsid w:val="00B92CB8"/>
    <w:rsid w:val="00B973A1"/>
    <w:rsid w:val="00BA5E45"/>
    <w:rsid w:val="00BB2192"/>
    <w:rsid w:val="00BB62DA"/>
    <w:rsid w:val="00BC0842"/>
    <w:rsid w:val="00BE1243"/>
    <w:rsid w:val="00BE1351"/>
    <w:rsid w:val="00BE2D1C"/>
    <w:rsid w:val="00BF24A0"/>
    <w:rsid w:val="00C01CE8"/>
    <w:rsid w:val="00C0275E"/>
    <w:rsid w:val="00C30909"/>
    <w:rsid w:val="00C332E9"/>
    <w:rsid w:val="00C33A8A"/>
    <w:rsid w:val="00C4020D"/>
    <w:rsid w:val="00C44715"/>
    <w:rsid w:val="00C55BE0"/>
    <w:rsid w:val="00C57B53"/>
    <w:rsid w:val="00C57E99"/>
    <w:rsid w:val="00C6198E"/>
    <w:rsid w:val="00C87775"/>
    <w:rsid w:val="00C87C7C"/>
    <w:rsid w:val="00C87EF7"/>
    <w:rsid w:val="00C939AD"/>
    <w:rsid w:val="00CA2CA0"/>
    <w:rsid w:val="00CB3BE2"/>
    <w:rsid w:val="00CC5F58"/>
    <w:rsid w:val="00CC7223"/>
    <w:rsid w:val="00CD2351"/>
    <w:rsid w:val="00CD6CAE"/>
    <w:rsid w:val="00CE0915"/>
    <w:rsid w:val="00CE1C73"/>
    <w:rsid w:val="00CE1D81"/>
    <w:rsid w:val="00CE1FD2"/>
    <w:rsid w:val="00D27EB9"/>
    <w:rsid w:val="00D34F06"/>
    <w:rsid w:val="00D35061"/>
    <w:rsid w:val="00D41B24"/>
    <w:rsid w:val="00D46B3F"/>
    <w:rsid w:val="00D50AE8"/>
    <w:rsid w:val="00D57348"/>
    <w:rsid w:val="00D644D8"/>
    <w:rsid w:val="00D64D9B"/>
    <w:rsid w:val="00D7153C"/>
    <w:rsid w:val="00D73BA6"/>
    <w:rsid w:val="00D768AF"/>
    <w:rsid w:val="00D80D27"/>
    <w:rsid w:val="00D84E4D"/>
    <w:rsid w:val="00D85E74"/>
    <w:rsid w:val="00D8715A"/>
    <w:rsid w:val="00D92FCE"/>
    <w:rsid w:val="00D97EAC"/>
    <w:rsid w:val="00DA2EE4"/>
    <w:rsid w:val="00DA568A"/>
    <w:rsid w:val="00DB71DD"/>
    <w:rsid w:val="00DC1628"/>
    <w:rsid w:val="00DC3759"/>
    <w:rsid w:val="00DD68FF"/>
    <w:rsid w:val="00DE6F9A"/>
    <w:rsid w:val="00E02037"/>
    <w:rsid w:val="00E042CA"/>
    <w:rsid w:val="00E156DA"/>
    <w:rsid w:val="00E16575"/>
    <w:rsid w:val="00E2600C"/>
    <w:rsid w:val="00E26134"/>
    <w:rsid w:val="00E3393F"/>
    <w:rsid w:val="00E340C8"/>
    <w:rsid w:val="00E450B1"/>
    <w:rsid w:val="00E518D6"/>
    <w:rsid w:val="00E53914"/>
    <w:rsid w:val="00E60985"/>
    <w:rsid w:val="00E63600"/>
    <w:rsid w:val="00E670EF"/>
    <w:rsid w:val="00E70EEA"/>
    <w:rsid w:val="00E72D92"/>
    <w:rsid w:val="00E77FE3"/>
    <w:rsid w:val="00E815E0"/>
    <w:rsid w:val="00E85CD0"/>
    <w:rsid w:val="00E87139"/>
    <w:rsid w:val="00E92822"/>
    <w:rsid w:val="00E9595E"/>
    <w:rsid w:val="00EA6DDB"/>
    <w:rsid w:val="00EB16AB"/>
    <w:rsid w:val="00EB39C0"/>
    <w:rsid w:val="00ED0A3D"/>
    <w:rsid w:val="00ED1413"/>
    <w:rsid w:val="00ED3BD7"/>
    <w:rsid w:val="00ED5A18"/>
    <w:rsid w:val="00EE0185"/>
    <w:rsid w:val="00EF24A6"/>
    <w:rsid w:val="00EF37E4"/>
    <w:rsid w:val="00F04968"/>
    <w:rsid w:val="00F05F1F"/>
    <w:rsid w:val="00F119A8"/>
    <w:rsid w:val="00F210EE"/>
    <w:rsid w:val="00F23ADA"/>
    <w:rsid w:val="00F23D39"/>
    <w:rsid w:val="00F27F41"/>
    <w:rsid w:val="00F357DA"/>
    <w:rsid w:val="00F36605"/>
    <w:rsid w:val="00F37F7E"/>
    <w:rsid w:val="00F403EB"/>
    <w:rsid w:val="00F459B9"/>
    <w:rsid w:val="00F478CA"/>
    <w:rsid w:val="00F51410"/>
    <w:rsid w:val="00F63C2D"/>
    <w:rsid w:val="00F73F57"/>
    <w:rsid w:val="00F77343"/>
    <w:rsid w:val="00F81DD5"/>
    <w:rsid w:val="00F8494C"/>
    <w:rsid w:val="00F9321A"/>
    <w:rsid w:val="00F96D07"/>
    <w:rsid w:val="00F971A7"/>
    <w:rsid w:val="00F97460"/>
    <w:rsid w:val="00FB13E6"/>
    <w:rsid w:val="00FB16C3"/>
    <w:rsid w:val="00FB2B05"/>
    <w:rsid w:val="00FB2B27"/>
    <w:rsid w:val="00FB52B4"/>
    <w:rsid w:val="00FB5888"/>
    <w:rsid w:val="00FD2781"/>
    <w:rsid w:val="00FD2C12"/>
    <w:rsid w:val="00FD4A39"/>
    <w:rsid w:val="00FD759C"/>
    <w:rsid w:val="00FE1E58"/>
    <w:rsid w:val="00FF4B17"/>
    <w:rsid w:val="00FF66AC"/>
    <w:rsid w:val="00FF7CC7"/>
    <w:rsid w:val="010A6538"/>
    <w:rsid w:val="01170C55"/>
    <w:rsid w:val="012A6BDB"/>
    <w:rsid w:val="013C246A"/>
    <w:rsid w:val="01671BDD"/>
    <w:rsid w:val="01AF70E0"/>
    <w:rsid w:val="01F64D0F"/>
    <w:rsid w:val="01FE5971"/>
    <w:rsid w:val="02296E92"/>
    <w:rsid w:val="023B6BC5"/>
    <w:rsid w:val="024C0DD3"/>
    <w:rsid w:val="02D212D8"/>
    <w:rsid w:val="02E4100B"/>
    <w:rsid w:val="03217B69"/>
    <w:rsid w:val="0332621A"/>
    <w:rsid w:val="034B4BE6"/>
    <w:rsid w:val="03C926DB"/>
    <w:rsid w:val="041A1188"/>
    <w:rsid w:val="04AB1DE0"/>
    <w:rsid w:val="054D733B"/>
    <w:rsid w:val="05571F68"/>
    <w:rsid w:val="055E50A5"/>
    <w:rsid w:val="057C377D"/>
    <w:rsid w:val="05AA2098"/>
    <w:rsid w:val="05B66C8F"/>
    <w:rsid w:val="07124399"/>
    <w:rsid w:val="071535E2"/>
    <w:rsid w:val="073A744C"/>
    <w:rsid w:val="073D0CEA"/>
    <w:rsid w:val="073E518E"/>
    <w:rsid w:val="07612C2A"/>
    <w:rsid w:val="08381BDD"/>
    <w:rsid w:val="083B347B"/>
    <w:rsid w:val="086C1887"/>
    <w:rsid w:val="087A0447"/>
    <w:rsid w:val="08FA3336"/>
    <w:rsid w:val="093E76C7"/>
    <w:rsid w:val="09AF2373"/>
    <w:rsid w:val="09B07E99"/>
    <w:rsid w:val="09C120A6"/>
    <w:rsid w:val="09C33728"/>
    <w:rsid w:val="09FB1114"/>
    <w:rsid w:val="0A03446D"/>
    <w:rsid w:val="0A36214C"/>
    <w:rsid w:val="0A474359"/>
    <w:rsid w:val="0A8E1F88"/>
    <w:rsid w:val="0ABD0ABF"/>
    <w:rsid w:val="0AD57BB7"/>
    <w:rsid w:val="0AE0655C"/>
    <w:rsid w:val="0B022976"/>
    <w:rsid w:val="0B1D50BA"/>
    <w:rsid w:val="0B2428ED"/>
    <w:rsid w:val="0B6B22C9"/>
    <w:rsid w:val="0BA63302"/>
    <w:rsid w:val="0BF16C73"/>
    <w:rsid w:val="0C3E79DE"/>
    <w:rsid w:val="0C476893"/>
    <w:rsid w:val="0C4A0131"/>
    <w:rsid w:val="0CB97065"/>
    <w:rsid w:val="0D2564A8"/>
    <w:rsid w:val="0DCB704F"/>
    <w:rsid w:val="0DCF5F7A"/>
    <w:rsid w:val="0DD8176C"/>
    <w:rsid w:val="0EF83E74"/>
    <w:rsid w:val="0F235963"/>
    <w:rsid w:val="0F474DFC"/>
    <w:rsid w:val="0F7F6343"/>
    <w:rsid w:val="0F9067A2"/>
    <w:rsid w:val="0FA1275E"/>
    <w:rsid w:val="103510F8"/>
    <w:rsid w:val="10CD7582"/>
    <w:rsid w:val="10E16B8A"/>
    <w:rsid w:val="113118BF"/>
    <w:rsid w:val="11D72467"/>
    <w:rsid w:val="11E22BBA"/>
    <w:rsid w:val="122907E8"/>
    <w:rsid w:val="123C1304"/>
    <w:rsid w:val="123D6042"/>
    <w:rsid w:val="126A32DB"/>
    <w:rsid w:val="12FE3A23"/>
    <w:rsid w:val="131B45D5"/>
    <w:rsid w:val="13374094"/>
    <w:rsid w:val="137B1518"/>
    <w:rsid w:val="13884F97"/>
    <w:rsid w:val="13961EAE"/>
    <w:rsid w:val="13B32A60"/>
    <w:rsid w:val="13F310AE"/>
    <w:rsid w:val="14270D58"/>
    <w:rsid w:val="14643D5A"/>
    <w:rsid w:val="148461AA"/>
    <w:rsid w:val="14C64A14"/>
    <w:rsid w:val="14EB7FD7"/>
    <w:rsid w:val="15C70A44"/>
    <w:rsid w:val="160F7CF5"/>
    <w:rsid w:val="168626AD"/>
    <w:rsid w:val="16A448E1"/>
    <w:rsid w:val="16E86EC4"/>
    <w:rsid w:val="16EA49EA"/>
    <w:rsid w:val="17033CFE"/>
    <w:rsid w:val="1720665E"/>
    <w:rsid w:val="174D31CB"/>
    <w:rsid w:val="176A1687"/>
    <w:rsid w:val="17A96653"/>
    <w:rsid w:val="17AA4179"/>
    <w:rsid w:val="17D42FA4"/>
    <w:rsid w:val="17F81389"/>
    <w:rsid w:val="18697B91"/>
    <w:rsid w:val="193208CA"/>
    <w:rsid w:val="19362169"/>
    <w:rsid w:val="19924EC5"/>
    <w:rsid w:val="19F65454"/>
    <w:rsid w:val="1AF8344E"/>
    <w:rsid w:val="1B5468D6"/>
    <w:rsid w:val="1C024584"/>
    <w:rsid w:val="1C3B579F"/>
    <w:rsid w:val="1C4701E9"/>
    <w:rsid w:val="1C597F1C"/>
    <w:rsid w:val="1CE912A0"/>
    <w:rsid w:val="1D790876"/>
    <w:rsid w:val="1D7F39B2"/>
    <w:rsid w:val="1D862F93"/>
    <w:rsid w:val="1D9E02DC"/>
    <w:rsid w:val="1EDB2E6A"/>
    <w:rsid w:val="1F0423C1"/>
    <w:rsid w:val="1F574BE7"/>
    <w:rsid w:val="20346CD6"/>
    <w:rsid w:val="207E43F5"/>
    <w:rsid w:val="20B56069"/>
    <w:rsid w:val="216C24A0"/>
    <w:rsid w:val="218B501C"/>
    <w:rsid w:val="219F2875"/>
    <w:rsid w:val="21A4660B"/>
    <w:rsid w:val="223263F0"/>
    <w:rsid w:val="226A2E83"/>
    <w:rsid w:val="22C32593"/>
    <w:rsid w:val="22DF561F"/>
    <w:rsid w:val="23305E7B"/>
    <w:rsid w:val="23531B69"/>
    <w:rsid w:val="23621DAC"/>
    <w:rsid w:val="2366189C"/>
    <w:rsid w:val="23A3664D"/>
    <w:rsid w:val="23CB16FF"/>
    <w:rsid w:val="246D0A09"/>
    <w:rsid w:val="24727DCD"/>
    <w:rsid w:val="247973AD"/>
    <w:rsid w:val="249D7540"/>
    <w:rsid w:val="25096983"/>
    <w:rsid w:val="25B82157"/>
    <w:rsid w:val="262F241A"/>
    <w:rsid w:val="26A56238"/>
    <w:rsid w:val="26BE554B"/>
    <w:rsid w:val="26EA00EF"/>
    <w:rsid w:val="26F25034"/>
    <w:rsid w:val="27A44741"/>
    <w:rsid w:val="27C941A8"/>
    <w:rsid w:val="27CB43C4"/>
    <w:rsid w:val="27DF1C1D"/>
    <w:rsid w:val="27FD02F5"/>
    <w:rsid w:val="284F6DA3"/>
    <w:rsid w:val="285D2B42"/>
    <w:rsid w:val="285F68BA"/>
    <w:rsid w:val="28920A3E"/>
    <w:rsid w:val="28CA467C"/>
    <w:rsid w:val="2976210D"/>
    <w:rsid w:val="29852351"/>
    <w:rsid w:val="29BD5F8E"/>
    <w:rsid w:val="2A6E1037"/>
    <w:rsid w:val="2AFA0B1C"/>
    <w:rsid w:val="2B3C1135"/>
    <w:rsid w:val="2B715282"/>
    <w:rsid w:val="2C1005F7"/>
    <w:rsid w:val="2C1A1476"/>
    <w:rsid w:val="2C4B162F"/>
    <w:rsid w:val="2C953A72"/>
    <w:rsid w:val="2D2A393B"/>
    <w:rsid w:val="2DAF5BEE"/>
    <w:rsid w:val="2E045F3A"/>
    <w:rsid w:val="2E310CF9"/>
    <w:rsid w:val="2E3558C9"/>
    <w:rsid w:val="2EBA0CEE"/>
    <w:rsid w:val="2ED718A0"/>
    <w:rsid w:val="2ED973C6"/>
    <w:rsid w:val="2EF835C5"/>
    <w:rsid w:val="2F05640D"/>
    <w:rsid w:val="2F2820FC"/>
    <w:rsid w:val="2F48454C"/>
    <w:rsid w:val="2F5B602D"/>
    <w:rsid w:val="2F974B8C"/>
    <w:rsid w:val="2FEC137B"/>
    <w:rsid w:val="2FEF2C1A"/>
    <w:rsid w:val="304F5466"/>
    <w:rsid w:val="30766E97"/>
    <w:rsid w:val="30922B28"/>
    <w:rsid w:val="30C10112"/>
    <w:rsid w:val="30FE1366"/>
    <w:rsid w:val="311F308B"/>
    <w:rsid w:val="32056724"/>
    <w:rsid w:val="32144BB9"/>
    <w:rsid w:val="3291620A"/>
    <w:rsid w:val="32DB1233"/>
    <w:rsid w:val="334B0167"/>
    <w:rsid w:val="344A2B14"/>
    <w:rsid w:val="34677222"/>
    <w:rsid w:val="348E2A01"/>
    <w:rsid w:val="3522139B"/>
    <w:rsid w:val="352D3F09"/>
    <w:rsid w:val="354B26A0"/>
    <w:rsid w:val="35EA56E1"/>
    <w:rsid w:val="35EB3E83"/>
    <w:rsid w:val="362D7FF8"/>
    <w:rsid w:val="366F0610"/>
    <w:rsid w:val="36897924"/>
    <w:rsid w:val="36EC7EB3"/>
    <w:rsid w:val="37B07132"/>
    <w:rsid w:val="3810197F"/>
    <w:rsid w:val="38767A34"/>
    <w:rsid w:val="38A327F3"/>
    <w:rsid w:val="38AF73EA"/>
    <w:rsid w:val="38D64977"/>
    <w:rsid w:val="38E2156D"/>
    <w:rsid w:val="395A7356"/>
    <w:rsid w:val="39DE1D35"/>
    <w:rsid w:val="39EE7A9E"/>
    <w:rsid w:val="3A173499"/>
    <w:rsid w:val="3A282FB0"/>
    <w:rsid w:val="3A287454"/>
    <w:rsid w:val="3A296D28"/>
    <w:rsid w:val="3A2D6818"/>
    <w:rsid w:val="3A8F74D3"/>
    <w:rsid w:val="3AB111F7"/>
    <w:rsid w:val="3AB605BC"/>
    <w:rsid w:val="3AB6680E"/>
    <w:rsid w:val="3AC21656"/>
    <w:rsid w:val="3ADD6E62"/>
    <w:rsid w:val="3B023801"/>
    <w:rsid w:val="3B1B0D67"/>
    <w:rsid w:val="3B1D688D"/>
    <w:rsid w:val="3B3911ED"/>
    <w:rsid w:val="3B4F27BE"/>
    <w:rsid w:val="3B53405D"/>
    <w:rsid w:val="3BE63123"/>
    <w:rsid w:val="3BF55114"/>
    <w:rsid w:val="3C1852A6"/>
    <w:rsid w:val="3C460065"/>
    <w:rsid w:val="3C6A5B02"/>
    <w:rsid w:val="3C756255"/>
    <w:rsid w:val="3D073351"/>
    <w:rsid w:val="3D5F318D"/>
    <w:rsid w:val="3D913562"/>
    <w:rsid w:val="3DA212CB"/>
    <w:rsid w:val="3DBC05DF"/>
    <w:rsid w:val="3DE750E1"/>
    <w:rsid w:val="3DEE4511"/>
    <w:rsid w:val="3E06185A"/>
    <w:rsid w:val="3E740EBA"/>
    <w:rsid w:val="3E7A5DA4"/>
    <w:rsid w:val="3F316DAB"/>
    <w:rsid w:val="3F696545"/>
    <w:rsid w:val="3F8F587F"/>
    <w:rsid w:val="402E32EA"/>
    <w:rsid w:val="406E36E7"/>
    <w:rsid w:val="40C63523"/>
    <w:rsid w:val="40DB5220"/>
    <w:rsid w:val="40E65973"/>
    <w:rsid w:val="411249BA"/>
    <w:rsid w:val="416C231C"/>
    <w:rsid w:val="41C2018E"/>
    <w:rsid w:val="41EC0D67"/>
    <w:rsid w:val="42274495"/>
    <w:rsid w:val="430976F7"/>
    <w:rsid w:val="432B58BF"/>
    <w:rsid w:val="437234EE"/>
    <w:rsid w:val="438020AF"/>
    <w:rsid w:val="43E22422"/>
    <w:rsid w:val="43EA39CC"/>
    <w:rsid w:val="445A46AE"/>
    <w:rsid w:val="4467501D"/>
    <w:rsid w:val="44CB1108"/>
    <w:rsid w:val="44E65F41"/>
    <w:rsid w:val="45154A79"/>
    <w:rsid w:val="453E7B2C"/>
    <w:rsid w:val="45765517"/>
    <w:rsid w:val="45EC3A2B"/>
    <w:rsid w:val="45F34DBA"/>
    <w:rsid w:val="464C6278"/>
    <w:rsid w:val="467D0B27"/>
    <w:rsid w:val="468974CC"/>
    <w:rsid w:val="46911EDD"/>
    <w:rsid w:val="46B06807"/>
    <w:rsid w:val="47590C4D"/>
    <w:rsid w:val="47B70069"/>
    <w:rsid w:val="4819662E"/>
    <w:rsid w:val="48457423"/>
    <w:rsid w:val="486C49B0"/>
    <w:rsid w:val="4880045B"/>
    <w:rsid w:val="489F6B33"/>
    <w:rsid w:val="48B620CF"/>
    <w:rsid w:val="48D66190"/>
    <w:rsid w:val="49153299"/>
    <w:rsid w:val="49160D98"/>
    <w:rsid w:val="49CD76D0"/>
    <w:rsid w:val="4A1C2405"/>
    <w:rsid w:val="4A2F038B"/>
    <w:rsid w:val="4ACA1E61"/>
    <w:rsid w:val="4AE7656F"/>
    <w:rsid w:val="4B06733D"/>
    <w:rsid w:val="4B375749"/>
    <w:rsid w:val="4C0F06E7"/>
    <w:rsid w:val="4DA22C22"/>
    <w:rsid w:val="4DB90697"/>
    <w:rsid w:val="4DBA440F"/>
    <w:rsid w:val="4E1C29D4"/>
    <w:rsid w:val="4E2E49C6"/>
    <w:rsid w:val="4E320449"/>
    <w:rsid w:val="4EB4216F"/>
    <w:rsid w:val="4FFC2ABD"/>
    <w:rsid w:val="505A5A36"/>
    <w:rsid w:val="50852AB2"/>
    <w:rsid w:val="50947199"/>
    <w:rsid w:val="51452242"/>
    <w:rsid w:val="51622DF4"/>
    <w:rsid w:val="51C969CF"/>
    <w:rsid w:val="51D57A6A"/>
    <w:rsid w:val="51DF6918"/>
    <w:rsid w:val="51EB2DE9"/>
    <w:rsid w:val="526B217C"/>
    <w:rsid w:val="52911BE2"/>
    <w:rsid w:val="52E57838"/>
    <w:rsid w:val="52F45CCD"/>
    <w:rsid w:val="52FD1026"/>
    <w:rsid w:val="533E33EC"/>
    <w:rsid w:val="535844AE"/>
    <w:rsid w:val="5382777D"/>
    <w:rsid w:val="53DB6E8D"/>
    <w:rsid w:val="53F65A75"/>
    <w:rsid w:val="54181E8F"/>
    <w:rsid w:val="544E765F"/>
    <w:rsid w:val="54882B71"/>
    <w:rsid w:val="54C33C51"/>
    <w:rsid w:val="55236D3E"/>
    <w:rsid w:val="5560589C"/>
    <w:rsid w:val="559A7000"/>
    <w:rsid w:val="56352885"/>
    <w:rsid w:val="564B3E56"/>
    <w:rsid w:val="56B20379"/>
    <w:rsid w:val="56B57E6A"/>
    <w:rsid w:val="56D06A51"/>
    <w:rsid w:val="56F444EE"/>
    <w:rsid w:val="56F75D8C"/>
    <w:rsid w:val="571C1C97"/>
    <w:rsid w:val="574F5BC8"/>
    <w:rsid w:val="57DA7B88"/>
    <w:rsid w:val="58A91308"/>
    <w:rsid w:val="58B06B3A"/>
    <w:rsid w:val="58D77C23"/>
    <w:rsid w:val="58F46A27"/>
    <w:rsid w:val="596516D3"/>
    <w:rsid w:val="59AF0BA0"/>
    <w:rsid w:val="59C97EB4"/>
    <w:rsid w:val="5A166E71"/>
    <w:rsid w:val="5A2F1CE1"/>
    <w:rsid w:val="5A736072"/>
    <w:rsid w:val="5A8E2EAB"/>
    <w:rsid w:val="5AD703AE"/>
    <w:rsid w:val="5B0646B9"/>
    <w:rsid w:val="5B5E287E"/>
    <w:rsid w:val="5B6065F6"/>
    <w:rsid w:val="5B793214"/>
    <w:rsid w:val="5BFB631F"/>
    <w:rsid w:val="5C166CB5"/>
    <w:rsid w:val="5C1949F7"/>
    <w:rsid w:val="5C2F421A"/>
    <w:rsid w:val="5CA16EC6"/>
    <w:rsid w:val="5CB12E81"/>
    <w:rsid w:val="5CED210B"/>
    <w:rsid w:val="5CF60894"/>
    <w:rsid w:val="5D30024A"/>
    <w:rsid w:val="5D333896"/>
    <w:rsid w:val="5D3A69D3"/>
    <w:rsid w:val="5D465377"/>
    <w:rsid w:val="5D7C6FEB"/>
    <w:rsid w:val="5DAA3B58"/>
    <w:rsid w:val="5DCF7A63"/>
    <w:rsid w:val="5E0C65C1"/>
    <w:rsid w:val="5E4D2736"/>
    <w:rsid w:val="5EC450EE"/>
    <w:rsid w:val="5F053010"/>
    <w:rsid w:val="5F487ACD"/>
    <w:rsid w:val="5F4D6E91"/>
    <w:rsid w:val="5F5875E4"/>
    <w:rsid w:val="5F7E529D"/>
    <w:rsid w:val="5FE315A4"/>
    <w:rsid w:val="5FF53085"/>
    <w:rsid w:val="60326087"/>
    <w:rsid w:val="605B3830"/>
    <w:rsid w:val="615362B5"/>
    <w:rsid w:val="61826B9A"/>
    <w:rsid w:val="61FE0917"/>
    <w:rsid w:val="62326812"/>
    <w:rsid w:val="623C31ED"/>
    <w:rsid w:val="62C05BCC"/>
    <w:rsid w:val="62D358FF"/>
    <w:rsid w:val="62D96C8E"/>
    <w:rsid w:val="62FD472A"/>
    <w:rsid w:val="634B193A"/>
    <w:rsid w:val="63E36016"/>
    <w:rsid w:val="64B61035"/>
    <w:rsid w:val="64EA33D4"/>
    <w:rsid w:val="64F47DAF"/>
    <w:rsid w:val="654C3747"/>
    <w:rsid w:val="65664300"/>
    <w:rsid w:val="657A4758"/>
    <w:rsid w:val="65D53CCC"/>
    <w:rsid w:val="661204ED"/>
    <w:rsid w:val="66214BD4"/>
    <w:rsid w:val="662841B4"/>
    <w:rsid w:val="663A7A43"/>
    <w:rsid w:val="66911D59"/>
    <w:rsid w:val="66A575B3"/>
    <w:rsid w:val="66D41C46"/>
    <w:rsid w:val="66FE3167"/>
    <w:rsid w:val="67380427"/>
    <w:rsid w:val="67784CC7"/>
    <w:rsid w:val="679B2764"/>
    <w:rsid w:val="67B0620F"/>
    <w:rsid w:val="67B6134C"/>
    <w:rsid w:val="67DB7004"/>
    <w:rsid w:val="67F105D6"/>
    <w:rsid w:val="68106CAE"/>
    <w:rsid w:val="6850354E"/>
    <w:rsid w:val="687234C5"/>
    <w:rsid w:val="68AA5354"/>
    <w:rsid w:val="68AB2E7A"/>
    <w:rsid w:val="68CD1043"/>
    <w:rsid w:val="68D20407"/>
    <w:rsid w:val="69735746"/>
    <w:rsid w:val="69CF4947"/>
    <w:rsid w:val="69EC54F9"/>
    <w:rsid w:val="69F60125"/>
    <w:rsid w:val="69FD14B4"/>
    <w:rsid w:val="6A786D8C"/>
    <w:rsid w:val="6AAB0F10"/>
    <w:rsid w:val="6AAD2EDA"/>
    <w:rsid w:val="6B030D4C"/>
    <w:rsid w:val="6B6C4B43"/>
    <w:rsid w:val="6B9064A9"/>
    <w:rsid w:val="6B9B71D6"/>
    <w:rsid w:val="6BD3071E"/>
    <w:rsid w:val="6BE4292B"/>
    <w:rsid w:val="6BFA214F"/>
    <w:rsid w:val="6BFF1513"/>
    <w:rsid w:val="6C506213"/>
    <w:rsid w:val="6C7C2B64"/>
    <w:rsid w:val="6C9003BD"/>
    <w:rsid w:val="6CD96208"/>
    <w:rsid w:val="6CE34991"/>
    <w:rsid w:val="6CEB5F3B"/>
    <w:rsid w:val="6CFE5C6F"/>
    <w:rsid w:val="6D1F1741"/>
    <w:rsid w:val="6D513FF0"/>
    <w:rsid w:val="6DC9002B"/>
    <w:rsid w:val="6DCF3167"/>
    <w:rsid w:val="6DDA2238"/>
    <w:rsid w:val="6E2A4841"/>
    <w:rsid w:val="6E761835"/>
    <w:rsid w:val="6E8D72AA"/>
    <w:rsid w:val="6F2319BD"/>
    <w:rsid w:val="6F265009"/>
    <w:rsid w:val="6F3516F0"/>
    <w:rsid w:val="6F8F7052"/>
    <w:rsid w:val="6FCF56A0"/>
    <w:rsid w:val="6FD64C81"/>
    <w:rsid w:val="6FDB5DF3"/>
    <w:rsid w:val="6FDE58E3"/>
    <w:rsid w:val="704936A5"/>
    <w:rsid w:val="708446DD"/>
    <w:rsid w:val="70E17439"/>
    <w:rsid w:val="719C7908"/>
    <w:rsid w:val="71B52674"/>
    <w:rsid w:val="71F94C57"/>
    <w:rsid w:val="723D0FE7"/>
    <w:rsid w:val="72C9287B"/>
    <w:rsid w:val="72CC236B"/>
    <w:rsid w:val="72EC6569"/>
    <w:rsid w:val="72FF004B"/>
    <w:rsid w:val="739F35DC"/>
    <w:rsid w:val="742C30C1"/>
    <w:rsid w:val="744228E5"/>
    <w:rsid w:val="74546174"/>
    <w:rsid w:val="74E219D2"/>
    <w:rsid w:val="75061B64"/>
    <w:rsid w:val="757C5983"/>
    <w:rsid w:val="757E794D"/>
    <w:rsid w:val="75907680"/>
    <w:rsid w:val="75D532E5"/>
    <w:rsid w:val="75E35A02"/>
    <w:rsid w:val="75ED062E"/>
    <w:rsid w:val="75F714AD"/>
    <w:rsid w:val="76360227"/>
    <w:rsid w:val="764010A6"/>
    <w:rsid w:val="76465F91"/>
    <w:rsid w:val="76805946"/>
    <w:rsid w:val="76866E1C"/>
    <w:rsid w:val="7693433A"/>
    <w:rsid w:val="76A258BD"/>
    <w:rsid w:val="776879A8"/>
    <w:rsid w:val="7778661E"/>
    <w:rsid w:val="77BC29AE"/>
    <w:rsid w:val="77C43611"/>
    <w:rsid w:val="78542BE7"/>
    <w:rsid w:val="7856695F"/>
    <w:rsid w:val="785D5F3F"/>
    <w:rsid w:val="78686692"/>
    <w:rsid w:val="78961451"/>
    <w:rsid w:val="78C37D6C"/>
    <w:rsid w:val="78CC6C21"/>
    <w:rsid w:val="79BE0C60"/>
    <w:rsid w:val="79C30024"/>
    <w:rsid w:val="79CB0C87"/>
    <w:rsid w:val="79DC7338"/>
    <w:rsid w:val="7A392094"/>
    <w:rsid w:val="7A480529"/>
    <w:rsid w:val="7AB21E46"/>
    <w:rsid w:val="7AE6048D"/>
    <w:rsid w:val="7B4231CA"/>
    <w:rsid w:val="7B735A7A"/>
    <w:rsid w:val="7BBA0FB3"/>
    <w:rsid w:val="7BF546E1"/>
    <w:rsid w:val="7C003D20"/>
    <w:rsid w:val="7C1903CF"/>
    <w:rsid w:val="7C2D3E7B"/>
    <w:rsid w:val="7C8810B1"/>
    <w:rsid w:val="7CA53A11"/>
    <w:rsid w:val="7CB93960"/>
    <w:rsid w:val="7D052701"/>
    <w:rsid w:val="7D0E47B7"/>
    <w:rsid w:val="7D2A2168"/>
    <w:rsid w:val="7D3D633F"/>
    <w:rsid w:val="7D761851"/>
    <w:rsid w:val="7D87580C"/>
    <w:rsid w:val="7D891584"/>
    <w:rsid w:val="7D935F5F"/>
    <w:rsid w:val="7D9817C8"/>
    <w:rsid w:val="7E400363"/>
    <w:rsid w:val="7E462FD2"/>
    <w:rsid w:val="7E576F8D"/>
    <w:rsid w:val="7E5F5E41"/>
    <w:rsid w:val="7EAD12A3"/>
    <w:rsid w:val="7F0215EE"/>
    <w:rsid w:val="7F0F7867"/>
    <w:rsid w:val="7F207CC7"/>
    <w:rsid w:val="7F286B7B"/>
    <w:rsid w:val="7F2D7CEE"/>
    <w:rsid w:val="7F453289"/>
    <w:rsid w:val="7F587460"/>
    <w:rsid w:val="7F625BE9"/>
    <w:rsid w:val="7F8813C8"/>
    <w:rsid w:val="7FFC4290"/>
  </w:rsids>
  <m:mathPr>
    <m:mathFont m:val="Cambria Math"/>
    <m:brkBin m:val="before"/>
    <m:brkBinSub m:val="--"/>
    <m:smallFrac/>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FFCD6A39-8B18-4B67-AEAE-F4C81CA63CE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5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asciiTheme="minorHAnsi" w:eastAsiaTheme="minorEastAsia" w:hAnsiTheme="minorHAnsi" w:cstheme="minorBid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semiHidden/>
    <w:unhideWhenUsed/>
    <w:qFormat/>
    <w:pPr>
      <w:jc w:val="left"/>
    </w:pPr>
  </w:style>
  <w:style w:type="paragraph" w:styleId="a4">
    <w:name w:val="Balloon Text"/>
    <w:basedOn w:val="a"/>
    <w:link w:val="Char0"/>
    <w:uiPriority w:val="99"/>
    <w:semiHidden/>
    <w:unhideWhenUsed/>
    <w:qFormat/>
    <w:rPr>
      <w:sz w:val="18"/>
      <w:szCs w:val="18"/>
    </w:rPr>
  </w:style>
  <w:style w:type="paragraph" w:styleId="a5">
    <w:name w:val="footer"/>
    <w:basedOn w:val="a"/>
    <w:link w:val="Char1"/>
    <w:uiPriority w:val="99"/>
    <w:unhideWhenUsed/>
    <w:qFormat/>
    <w:pPr>
      <w:tabs>
        <w:tab w:val="center" w:pos="4153"/>
        <w:tab w:val="right" w:pos="8306"/>
      </w:tabs>
      <w:snapToGrid w:val="0"/>
      <w:jc w:val="left"/>
    </w:pPr>
    <w:rPr>
      <w:sz w:val="18"/>
      <w:szCs w:val="18"/>
    </w:rPr>
  </w:style>
  <w:style w:type="paragraph" w:styleId="a6">
    <w:name w:val="header"/>
    <w:basedOn w:val="a"/>
    <w:link w:val="Char2"/>
    <w:uiPriority w:val="99"/>
    <w:unhideWhenUsed/>
    <w:qFormat/>
    <w:pPr>
      <w:pBdr>
        <w:bottom w:val="single" w:sz="6" w:space="1" w:color="auto"/>
      </w:pBdr>
      <w:tabs>
        <w:tab w:val="center" w:pos="4153"/>
        <w:tab w:val="right" w:pos="8306"/>
      </w:tabs>
      <w:snapToGrid w:val="0"/>
      <w:jc w:val="center"/>
    </w:pPr>
    <w:rPr>
      <w:sz w:val="18"/>
      <w:szCs w:val="18"/>
    </w:rPr>
  </w:style>
  <w:style w:type="paragraph" w:styleId="a7">
    <w:name w:val="annotation subject"/>
    <w:basedOn w:val="a3"/>
    <w:next w:val="a3"/>
    <w:link w:val="Char3"/>
    <w:uiPriority w:val="99"/>
    <w:semiHidden/>
    <w:unhideWhenUsed/>
    <w:qFormat/>
    <w:rPr>
      <w:b/>
      <w:bCs/>
    </w:rPr>
  </w:style>
  <w:style w:type="character" w:styleId="a8">
    <w:name w:val="Strong"/>
    <w:basedOn w:val="a0"/>
    <w:uiPriority w:val="22"/>
    <w:qFormat/>
    <w:rPr>
      <w:b/>
    </w:rPr>
  </w:style>
  <w:style w:type="character" w:styleId="a9">
    <w:name w:val="annotation reference"/>
    <w:basedOn w:val="a0"/>
    <w:uiPriority w:val="99"/>
    <w:semiHidden/>
    <w:unhideWhenUsed/>
    <w:qFormat/>
    <w:rPr>
      <w:sz w:val="21"/>
      <w:szCs w:val="21"/>
    </w:rPr>
  </w:style>
  <w:style w:type="character" w:customStyle="1" w:styleId="Char2">
    <w:name w:val="页眉 Char"/>
    <w:basedOn w:val="a0"/>
    <w:link w:val="a6"/>
    <w:uiPriority w:val="99"/>
    <w:qFormat/>
    <w:rPr>
      <w:sz w:val="18"/>
      <w:szCs w:val="18"/>
    </w:rPr>
  </w:style>
  <w:style w:type="character" w:customStyle="1" w:styleId="Char1">
    <w:name w:val="页脚 Char"/>
    <w:basedOn w:val="a0"/>
    <w:link w:val="a5"/>
    <w:uiPriority w:val="99"/>
    <w:qFormat/>
    <w:rPr>
      <w:sz w:val="18"/>
      <w:szCs w:val="18"/>
    </w:rPr>
  </w:style>
  <w:style w:type="character" w:customStyle="1" w:styleId="Char0">
    <w:name w:val="批注框文本 Char"/>
    <w:basedOn w:val="a0"/>
    <w:link w:val="a4"/>
    <w:uiPriority w:val="99"/>
    <w:semiHidden/>
    <w:qFormat/>
    <w:rPr>
      <w:sz w:val="18"/>
      <w:szCs w:val="18"/>
    </w:rPr>
  </w:style>
  <w:style w:type="character" w:customStyle="1" w:styleId="Char">
    <w:name w:val="批注文字 Char"/>
    <w:basedOn w:val="a0"/>
    <w:link w:val="a3"/>
    <w:uiPriority w:val="99"/>
    <w:semiHidden/>
    <w:qFormat/>
  </w:style>
  <w:style w:type="character" w:customStyle="1" w:styleId="Char3">
    <w:name w:val="批注主题 Char"/>
    <w:basedOn w:val="Char"/>
    <w:link w:val="a7"/>
    <w:uiPriority w:val="99"/>
    <w:semiHidden/>
    <w:qFormat/>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chart" Target="charts/chart2.xml"/><Relationship Id="rId3" Type="http://schemas.openxmlformats.org/officeDocument/2006/relationships/settings" Target="settings.xml"/><Relationship Id="rId7" Type="http://schemas.openxmlformats.org/officeDocument/2006/relationships/chart" Target="charts/chart1.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chart" Target="charts/chart3.xml"/></Relationships>
</file>

<file path=word/charts/_rels/chart1.xml.rels><?xml version="1.0" encoding="UTF-8" standalone="yes"?>
<Relationships xmlns="http://schemas.openxmlformats.org/package/2006/relationships"><Relationship Id="rId1" Type="http://schemas.openxmlformats.org/officeDocument/2006/relationships/oleObject" Target="file:///C:\Users\&#39759;&#38639;&#29690;\2022&#24037;&#20316;\&#19981;&#27491;&#24403;&#31454;&#20105;&#21450;&#22404;&#26029;&#24773;&#20917;&#25253;&#21578;\&#12304;&#34920;&#26684;&#12305;&#20851;&#20110;&#21453;&#19981;&#27491;&#24403;&#31454;&#20105;&#21644;&#21453;&#22404;&#26029;&#26696;&#20214;&#30340;&#25968;&#25454;&#32479;&#35745;&#34920;.xlsx" TargetMode="External"/></Relationships>
</file>

<file path=word/charts/_rels/chart2.xml.rels><?xml version="1.0" encoding="UTF-8" standalone="yes"?>
<Relationships xmlns="http://schemas.openxmlformats.org/package/2006/relationships"><Relationship Id="rId1" Type="http://schemas.openxmlformats.org/officeDocument/2006/relationships/oleObject" Target="file:///C:\Users\&#39759;&#38639;&#29690;\Desktop\&#19981;&#27491;&#24403;&#31454;&#20105;&#21450;&#22404;&#26029;&#24773;&#20917;&#25253;&#21578;\&#12304;&#20840;&#30465;&#12305;&#19981;&#27491;&#24403;&#31454;&#20105;&#32416;&#32439;&#26696;&#30001;&#37325;&#26032;&#32479;&#35745;&#26032;&#34920;.xlsx" TargetMode="External"/></Relationships>
</file>

<file path=word/charts/_rels/chart3.xml.rels><?xml version="1.0" encoding="UTF-8" standalone="yes"?>
<Relationships xmlns="http://schemas.openxmlformats.org/package/2006/relationships"><Relationship Id="rId1" Type="http://schemas.openxmlformats.org/officeDocument/2006/relationships/oleObject" Target="file:///C:\Users\&#39759;&#38639;&#29690;\2022&#24037;&#20316;\&#19981;&#27491;&#24403;&#31454;&#20105;&#21450;&#22404;&#26029;&#24773;&#20917;&#25253;&#21578;\&#12304;&#34920;&#26684;&#12305;&#20851;&#20110;&#21453;&#19981;&#27491;&#24403;&#31454;&#20105;&#21644;&#21453;&#22404;&#26029;&#26696;&#20214;&#30340;&#25968;&#25454;&#32479;&#35745;&#34920;.xlsx" TargetMode="Externa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clustered"/>
        <c:varyColors val="0"/>
        <c:ser>
          <c:idx val="0"/>
          <c:order val="0"/>
          <c:tx>
            <c:strRef>
              <c:f>Sheet1!$A$35</c:f>
              <c:strCache>
                <c:ptCount val="1"/>
                <c:pt idx="0">
                  <c:v>受理</c:v>
                </c:pt>
              </c:strCache>
            </c:strRef>
          </c:tx>
          <c:invertIfNegative val="0"/>
          <c:cat>
            <c:strRef>
              <c:f>Sheet1!$C$34:$F$34</c:f>
              <c:strCache>
                <c:ptCount val="4"/>
                <c:pt idx="0">
                  <c:v>2019年</c:v>
                </c:pt>
                <c:pt idx="1">
                  <c:v>2020年</c:v>
                </c:pt>
                <c:pt idx="2">
                  <c:v>2021年</c:v>
                </c:pt>
                <c:pt idx="3">
                  <c:v>2022年（截止10月底）</c:v>
                </c:pt>
              </c:strCache>
            </c:strRef>
          </c:cat>
          <c:val>
            <c:numRef>
              <c:f>Sheet1!$C$35:$F$35</c:f>
              <c:numCache>
                <c:formatCode>General</c:formatCode>
                <c:ptCount val="4"/>
                <c:pt idx="0">
                  <c:v>604</c:v>
                </c:pt>
                <c:pt idx="1">
                  <c:v>648</c:v>
                </c:pt>
                <c:pt idx="2">
                  <c:v>858</c:v>
                </c:pt>
                <c:pt idx="3">
                  <c:v>971</c:v>
                </c:pt>
              </c:numCache>
            </c:numRef>
          </c:val>
        </c:ser>
        <c:ser>
          <c:idx val="1"/>
          <c:order val="1"/>
          <c:tx>
            <c:strRef>
              <c:f>Sheet1!$A$36</c:f>
              <c:strCache>
                <c:ptCount val="1"/>
                <c:pt idx="0">
                  <c:v>审结</c:v>
                </c:pt>
              </c:strCache>
            </c:strRef>
          </c:tx>
          <c:invertIfNegative val="0"/>
          <c:cat>
            <c:strRef>
              <c:f>Sheet1!$C$34:$F$34</c:f>
              <c:strCache>
                <c:ptCount val="4"/>
                <c:pt idx="0">
                  <c:v>2019年</c:v>
                </c:pt>
                <c:pt idx="1">
                  <c:v>2020年</c:v>
                </c:pt>
                <c:pt idx="2">
                  <c:v>2021年</c:v>
                </c:pt>
                <c:pt idx="3">
                  <c:v>2022年（截止10月底）</c:v>
                </c:pt>
              </c:strCache>
            </c:strRef>
          </c:cat>
          <c:val>
            <c:numRef>
              <c:f>Sheet1!$C$36:$F$36</c:f>
              <c:numCache>
                <c:formatCode>General</c:formatCode>
                <c:ptCount val="4"/>
                <c:pt idx="0">
                  <c:v>411</c:v>
                </c:pt>
                <c:pt idx="1">
                  <c:v>446</c:v>
                </c:pt>
                <c:pt idx="2">
                  <c:v>603</c:v>
                </c:pt>
                <c:pt idx="3">
                  <c:v>652</c:v>
                </c:pt>
              </c:numCache>
            </c:numRef>
          </c:val>
        </c:ser>
        <c:dLbls>
          <c:showLegendKey val="0"/>
          <c:showVal val="0"/>
          <c:showCatName val="0"/>
          <c:showSerName val="0"/>
          <c:showPercent val="0"/>
          <c:showBubbleSize val="0"/>
        </c:dLbls>
        <c:gapWidth val="150"/>
        <c:axId val="469751536"/>
        <c:axId val="469751144"/>
      </c:barChart>
      <c:catAx>
        <c:axId val="469751536"/>
        <c:scaling>
          <c:orientation val="minMax"/>
        </c:scaling>
        <c:delete val="0"/>
        <c:axPos val="b"/>
        <c:numFmt formatCode="General" sourceLinked="1"/>
        <c:majorTickMark val="none"/>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endParaRPr lang="zh-CN"/>
          </a:p>
        </c:txPr>
        <c:crossAx val="469751144"/>
        <c:crosses val="autoZero"/>
        <c:auto val="1"/>
        <c:lblAlgn val="ctr"/>
        <c:lblOffset val="100"/>
        <c:noMultiLvlLbl val="0"/>
      </c:catAx>
      <c:valAx>
        <c:axId val="469751144"/>
        <c:scaling>
          <c:orientation val="minMax"/>
        </c:scaling>
        <c:delete val="0"/>
        <c:axPos val="l"/>
        <c:majorGridlines/>
        <c:numFmt formatCode="General" sourceLinked="1"/>
        <c:majorTickMark val="none"/>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endParaRPr lang="zh-CN"/>
          </a:p>
        </c:txPr>
        <c:crossAx val="469751536"/>
        <c:crosses val="autoZero"/>
        <c:crossBetween val="between"/>
      </c:valAx>
      <c:dTable>
        <c:showHorzBorder val="1"/>
        <c:showVertBorder val="1"/>
        <c:showOutline val="1"/>
        <c:showKeys val="1"/>
        <c:txPr>
          <a:bodyPr rot="0" spcFirstLastPara="0" vertOverflow="ellipsis" vert="horz" wrap="square" anchor="ctr" anchorCtr="1"/>
          <a:lstStyle/>
          <a:p>
            <a:pPr rtl="0">
              <a:defRPr lang="zh-CN" sz="1000" b="0" i="0" u="none" strike="noStrike" kern="1200" baseline="0">
                <a:solidFill>
                  <a:schemeClr val="tx1"/>
                </a:solidFill>
                <a:latin typeface="+mn-lt"/>
                <a:ea typeface="+mn-ea"/>
                <a:cs typeface="+mn-cs"/>
              </a:defRPr>
            </a:pPr>
            <a:endParaRPr lang="zh-CN"/>
          </a:p>
        </c:txPr>
      </c:dTable>
    </c:plotArea>
    <c:plotVisOnly val="1"/>
    <c:dispBlanksAs val="gap"/>
    <c:showDLblsOverMax val="0"/>
  </c:chart>
  <c:txPr>
    <a:bodyPr/>
    <a:lstStyle/>
    <a:p>
      <a:pPr>
        <a:defRPr lang="zh-CN"/>
      </a:pPr>
      <a:endParaRPr lang="zh-CN"/>
    </a:p>
  </c:txPr>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5.5555555555555601E-3"/>
          <c:y val="5.0925925925925902E-2"/>
          <c:w val="0.59726531058617705"/>
          <c:h val="0.89814814814814803"/>
        </c:manualLayout>
      </c:layout>
      <c:pieChart>
        <c:varyColors val="1"/>
        <c:ser>
          <c:idx val="0"/>
          <c:order val="0"/>
          <c:tx>
            <c:strRef>
              <c:f>2021年新收一审不正当竞争案件案由分布</c:f>
              <c:strCache>
                <c:ptCount val="1"/>
                <c:pt idx="0">
                  <c:v>2021年新收一审不正当竞争案件案由分布</c:v>
                </c:pt>
              </c:strCache>
            </c:strRef>
          </c:tx>
          <c:dPt>
            <c:idx val="0"/>
            <c:bubble3D val="0"/>
          </c:dPt>
          <c:dPt>
            <c:idx val="1"/>
            <c:bubble3D val="0"/>
          </c:dPt>
          <c:dPt>
            <c:idx val="2"/>
            <c:bubble3D val="0"/>
          </c:dPt>
          <c:dPt>
            <c:idx val="3"/>
            <c:bubble3D val="0"/>
          </c:dPt>
          <c:dPt>
            <c:idx val="4"/>
            <c:bubble3D val="0"/>
          </c:dPt>
          <c:dPt>
            <c:idx val="5"/>
            <c:bubble3D val="0"/>
          </c:dPt>
          <c:dPt>
            <c:idx val="6"/>
            <c:bubble3D val="0"/>
          </c:dPt>
          <c:dPt>
            <c:idx val="7"/>
            <c:bubble3D val="0"/>
          </c:dPt>
          <c:dLbls>
            <c:numFmt formatCode="0.00%" sourceLinked="0"/>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tx1"/>
                    </a:solidFill>
                    <a:latin typeface="+mn-lt"/>
                    <a:ea typeface="+mn-ea"/>
                    <a:cs typeface="+mn-cs"/>
                  </a:defRPr>
                </a:pPr>
                <a:endParaRPr lang="zh-CN"/>
              </a:p>
            </c:txPr>
            <c:dLblPos val="bestFit"/>
            <c:showLegendKey val="0"/>
            <c:showVal val="0"/>
            <c:showCatName val="0"/>
            <c:showSerName val="0"/>
            <c:showPercent val="1"/>
            <c:showBubbleSize val="0"/>
            <c:showLeaderLines val="1"/>
            <c:extLst>
              <c:ext xmlns:c15="http://schemas.microsoft.com/office/drawing/2012/chart" uri="{CE6537A1-D6FC-4f65-9D91-7224C49458BB}"/>
            </c:extLst>
          </c:dLbls>
          <c:cat>
            <c:strRef>
              <c:f>Sheet1!$A$3:$A$10</c:f>
              <c:strCache>
                <c:ptCount val="8"/>
                <c:pt idx="0">
                  <c:v>仿冒纠纷</c:v>
                </c:pt>
                <c:pt idx="1">
                  <c:v>侵害商业秘密纠纷</c:v>
                </c:pt>
                <c:pt idx="2">
                  <c:v>虚假宣传纠纷</c:v>
                </c:pt>
                <c:pt idx="3">
                  <c:v>商业诋毁纠纷</c:v>
                </c:pt>
                <c:pt idx="4">
                  <c:v>商业贿赂不正当竞争纠纷</c:v>
                </c:pt>
                <c:pt idx="5">
                  <c:v>有奖销售纠纷</c:v>
                </c:pt>
                <c:pt idx="6">
                  <c:v>网络不正当竞争纠纷</c:v>
                </c:pt>
                <c:pt idx="7">
                  <c:v>其他不正当竞争纠纷</c:v>
                </c:pt>
              </c:strCache>
            </c:strRef>
          </c:cat>
          <c:val>
            <c:numRef>
              <c:f>Sheet1!$B$3:$B$10</c:f>
              <c:numCache>
                <c:formatCode>General</c:formatCode>
                <c:ptCount val="8"/>
                <c:pt idx="0">
                  <c:v>375</c:v>
                </c:pt>
                <c:pt idx="1">
                  <c:v>105</c:v>
                </c:pt>
                <c:pt idx="2">
                  <c:v>14</c:v>
                </c:pt>
                <c:pt idx="3">
                  <c:v>27</c:v>
                </c:pt>
                <c:pt idx="4">
                  <c:v>1</c:v>
                </c:pt>
                <c:pt idx="5">
                  <c:v>1</c:v>
                </c:pt>
                <c:pt idx="6">
                  <c:v>11</c:v>
                </c:pt>
                <c:pt idx="7">
                  <c:v>31</c:v>
                </c:pt>
              </c:numCache>
            </c:numRef>
          </c:val>
        </c:ser>
        <c:dLbls>
          <c:showLegendKey val="0"/>
          <c:showVal val="0"/>
          <c:showCatName val="0"/>
          <c:showSerName val="0"/>
          <c:showPercent val="1"/>
          <c:showBubbleSize val="0"/>
          <c:showLeaderLines val="1"/>
        </c:dLbls>
        <c:firstSliceAng val="0"/>
      </c:pieChart>
    </c:plotArea>
    <c:legend>
      <c:legendPos val="r"/>
      <c:overlay val="0"/>
      <c:txPr>
        <a:bodyPr rot="0" spcFirstLastPara="0" vertOverflow="ellipsis" vert="horz" wrap="square" anchor="ctr" anchorCtr="1"/>
        <a:lstStyle/>
        <a:p>
          <a:pPr>
            <a:defRPr lang="zh-CN" sz="1000" b="0" i="0" u="none" strike="noStrike" kern="1200" baseline="0">
              <a:solidFill>
                <a:schemeClr val="tx1"/>
              </a:solidFill>
              <a:latin typeface="+mn-lt"/>
              <a:ea typeface="+mn-ea"/>
              <a:cs typeface="+mn-cs"/>
            </a:defRPr>
          </a:pPr>
          <a:endParaRPr lang="zh-CN"/>
        </a:p>
      </c:txPr>
    </c:legend>
    <c:plotVisOnly val="1"/>
    <c:dispBlanksAs val="zero"/>
    <c:showDLblsOverMax val="0"/>
  </c:chart>
  <c:txPr>
    <a:bodyPr/>
    <a:lstStyle/>
    <a:p>
      <a:pPr>
        <a:defRPr lang="zh-CN"/>
      </a:pPr>
      <a:endParaRPr lang="zh-CN"/>
    </a:p>
  </c:txPr>
  <c:externalData r:id="rId1">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clustered"/>
        <c:varyColors val="0"/>
        <c:ser>
          <c:idx val="0"/>
          <c:order val="0"/>
          <c:tx>
            <c:strRef>
              <c:f>Sheet1!$N$54</c:f>
              <c:strCache>
                <c:ptCount val="1"/>
                <c:pt idx="0">
                  <c:v>新收</c:v>
                </c:pt>
              </c:strCache>
            </c:strRef>
          </c:tx>
          <c:invertIfNegative val="0"/>
          <c:cat>
            <c:strRef>
              <c:f>Sheet1!$M$55:$M$67</c:f>
              <c:strCache>
                <c:ptCount val="13"/>
                <c:pt idx="0">
                  <c:v>常州</c:v>
                </c:pt>
                <c:pt idx="1">
                  <c:v>淮安</c:v>
                </c:pt>
                <c:pt idx="2">
                  <c:v>连云港</c:v>
                </c:pt>
                <c:pt idx="3">
                  <c:v>南京</c:v>
                </c:pt>
                <c:pt idx="4">
                  <c:v>南通</c:v>
                </c:pt>
                <c:pt idx="5">
                  <c:v>苏州</c:v>
                </c:pt>
                <c:pt idx="6">
                  <c:v>泰州</c:v>
                </c:pt>
                <c:pt idx="7">
                  <c:v>无锡</c:v>
                </c:pt>
                <c:pt idx="8">
                  <c:v>宿迁</c:v>
                </c:pt>
                <c:pt idx="9">
                  <c:v>徐州</c:v>
                </c:pt>
                <c:pt idx="10">
                  <c:v>盐城</c:v>
                </c:pt>
                <c:pt idx="11">
                  <c:v>扬州</c:v>
                </c:pt>
                <c:pt idx="12">
                  <c:v>镇江</c:v>
                </c:pt>
              </c:strCache>
            </c:strRef>
          </c:cat>
          <c:val>
            <c:numRef>
              <c:f>Sheet1!$N$55:$N$67</c:f>
              <c:numCache>
                <c:formatCode>General</c:formatCode>
                <c:ptCount val="13"/>
                <c:pt idx="0">
                  <c:v>75</c:v>
                </c:pt>
                <c:pt idx="1">
                  <c:v>31</c:v>
                </c:pt>
                <c:pt idx="2">
                  <c:v>44</c:v>
                </c:pt>
                <c:pt idx="3">
                  <c:v>433</c:v>
                </c:pt>
                <c:pt idx="4">
                  <c:v>70</c:v>
                </c:pt>
                <c:pt idx="5">
                  <c:v>525</c:v>
                </c:pt>
                <c:pt idx="6">
                  <c:v>76</c:v>
                </c:pt>
                <c:pt idx="7">
                  <c:v>215</c:v>
                </c:pt>
                <c:pt idx="8">
                  <c:v>69</c:v>
                </c:pt>
                <c:pt idx="9">
                  <c:v>151</c:v>
                </c:pt>
                <c:pt idx="10">
                  <c:v>37</c:v>
                </c:pt>
                <c:pt idx="11">
                  <c:v>59</c:v>
                </c:pt>
                <c:pt idx="12">
                  <c:v>49</c:v>
                </c:pt>
              </c:numCache>
            </c:numRef>
          </c:val>
        </c:ser>
        <c:dLbls>
          <c:showLegendKey val="0"/>
          <c:showVal val="0"/>
          <c:showCatName val="0"/>
          <c:showSerName val="0"/>
          <c:showPercent val="0"/>
          <c:showBubbleSize val="0"/>
        </c:dLbls>
        <c:gapWidth val="150"/>
        <c:axId val="470390584"/>
        <c:axId val="470391368"/>
      </c:barChart>
      <c:catAx>
        <c:axId val="470390584"/>
        <c:scaling>
          <c:orientation val="minMax"/>
        </c:scaling>
        <c:delete val="0"/>
        <c:axPos val="b"/>
        <c:numFmt formatCode="General" sourceLinked="0"/>
        <c:majorTickMark val="none"/>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endParaRPr lang="zh-CN"/>
          </a:p>
        </c:txPr>
        <c:crossAx val="470391368"/>
        <c:crosses val="autoZero"/>
        <c:auto val="1"/>
        <c:lblAlgn val="ctr"/>
        <c:lblOffset val="100"/>
        <c:noMultiLvlLbl val="0"/>
      </c:catAx>
      <c:valAx>
        <c:axId val="470391368"/>
        <c:scaling>
          <c:orientation val="minMax"/>
        </c:scaling>
        <c:delete val="0"/>
        <c:axPos val="l"/>
        <c:majorGridlines/>
        <c:numFmt formatCode="General" sourceLinked="1"/>
        <c:majorTickMark val="none"/>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endParaRPr lang="zh-CN"/>
          </a:p>
        </c:txPr>
        <c:crossAx val="470390584"/>
        <c:crosses val="autoZero"/>
        <c:crossBetween val="between"/>
      </c:valAx>
      <c:dTable>
        <c:showHorzBorder val="1"/>
        <c:showVertBorder val="1"/>
        <c:showOutline val="1"/>
        <c:showKeys val="1"/>
        <c:txPr>
          <a:bodyPr rot="0" spcFirstLastPara="0" vertOverflow="ellipsis" vert="horz" wrap="square" anchor="ctr" anchorCtr="1"/>
          <a:lstStyle/>
          <a:p>
            <a:pPr rtl="0">
              <a:defRPr lang="zh-CN" sz="1000" b="0" i="0" u="none" strike="noStrike" kern="1200" baseline="0">
                <a:solidFill>
                  <a:schemeClr val="tx1"/>
                </a:solidFill>
                <a:latin typeface="+mn-lt"/>
                <a:ea typeface="+mn-ea"/>
                <a:cs typeface="+mn-cs"/>
              </a:defRPr>
            </a:pPr>
            <a:endParaRPr lang="zh-CN"/>
          </a:p>
        </c:txPr>
      </c:dTable>
    </c:plotArea>
    <c:plotVisOnly val="1"/>
    <c:dispBlanksAs val="gap"/>
    <c:showDLblsOverMax val="0"/>
  </c:chart>
  <c:txPr>
    <a:bodyPr/>
    <a:lstStyle/>
    <a:p>
      <a:pPr>
        <a:defRPr lang="zh-CN"/>
      </a:pPr>
      <a:endParaRPr lang="zh-CN"/>
    </a:p>
  </c:txPr>
  <c:externalData r:id="rId1">
    <c:autoUpdate val="0"/>
  </c:externalData>
</c:chartSpace>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FE3E63D-8A3A-4E03-999F-2E6D0046345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69</TotalTime>
  <Pages>13</Pages>
  <Words>1003</Words>
  <Characters>5722</Characters>
  <Application>Microsoft Office Word</Application>
  <DocSecurity>0</DocSecurity>
  <Lines>47</Lines>
  <Paragraphs>13</Paragraphs>
  <ScaleCrop>false</ScaleCrop>
  <Company>Hewlett-Packard Company</Company>
  <LinksUpToDate>false</LinksUpToDate>
  <CharactersWithSpaces>6712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魏雯珺</dc:creator>
  <cp:lastModifiedBy>汤茂仁</cp:lastModifiedBy>
  <cp:revision>87</cp:revision>
  <cp:lastPrinted>2022-11-15T05:03:00Z</cp:lastPrinted>
  <dcterms:created xsi:type="dcterms:W3CDTF">2022-11-17T07:27:00Z</dcterms:created>
  <dcterms:modified xsi:type="dcterms:W3CDTF">2022-11-29T02:55:00Z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2052-11.1.0.12651</vt:lpwstr>
  </property>
  <property fmtid="{D5CDD505-2E9C-101B-9397-08002B2CF9AE}" pid="3" name="ICV">
    <vt:lpwstr>04D25EC5460F4A4DBAE765653ABA7132</vt:lpwstr>
  </property>
</Properties>
</file>