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tabs>
          <w:tab w:val="left" w:pos="8820"/>
        </w:tabs>
        <w:spacing w:before="0" w:after="0"/>
        <w:ind w:firstLine="0" w:firstLineChars="0"/>
        <w:rPr>
          <w:rFonts w:ascii="仿宋" w:hAnsi="仿宋" w:eastAsia="仿宋" w:cs="仿宋"/>
          <w:b/>
          <w:bCs/>
          <w:color w:val="000000" w:themeColor="text1"/>
          <w:sz w:val="84"/>
          <w14:textFill>
            <w14:solidFill>
              <w14:schemeClr w14:val="tx1"/>
            </w14:solidFill>
          </w14:textFill>
        </w:rPr>
      </w:pPr>
    </w:p>
    <w:p>
      <w:pPr>
        <w:pStyle w:val="20"/>
        <w:spacing w:before="0" w:after="0"/>
        <w:ind w:firstLine="0" w:firstLineChars="0"/>
        <w:jc w:val="center"/>
        <w:rPr>
          <w:rFonts w:ascii="仿宋" w:hAnsi="仿宋" w:eastAsia="仿宋" w:cs="仿宋"/>
          <w:b/>
          <w:bCs/>
          <w:color w:val="000000" w:themeColor="text1"/>
          <w:sz w:val="84"/>
          <w14:textFill>
            <w14:solidFill>
              <w14:schemeClr w14:val="tx1"/>
            </w14:solidFill>
          </w14:textFill>
        </w:rPr>
      </w:pPr>
      <w:r>
        <w:rPr>
          <w:rFonts w:hint="eastAsia" w:ascii="仿宋" w:hAnsi="仿宋" w:eastAsia="仿宋" w:cs="仿宋"/>
          <w:b/>
          <w:bCs/>
          <w:color w:val="000000" w:themeColor="text1"/>
          <w:sz w:val="84"/>
          <w14:textFill>
            <w14:solidFill>
              <w14:schemeClr w14:val="tx1"/>
            </w14:solidFill>
          </w14:textFill>
        </w:rPr>
        <w:t>竞争性磋商文件</w:t>
      </w:r>
    </w:p>
    <w:p>
      <w:pPr>
        <w:pStyle w:val="20"/>
        <w:spacing w:before="0" w:after="0"/>
        <w:ind w:firstLine="0" w:firstLineChars="0"/>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0" w:firstLineChars="0"/>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723"/>
        <w:rPr>
          <w:rFonts w:ascii="仿宋" w:hAnsi="仿宋" w:eastAsia="仿宋" w:cs="仿宋"/>
          <w:b/>
          <w:bCs/>
          <w:color w:val="000000" w:themeColor="text1"/>
          <w:sz w:val="36"/>
          <w:szCs w:val="36"/>
          <w14:textFill>
            <w14:solidFill>
              <w14:schemeClr w14:val="tx1"/>
            </w14:solidFill>
          </w14:textFill>
        </w:rPr>
      </w:pPr>
    </w:p>
    <w:p>
      <w:pPr>
        <w:pStyle w:val="20"/>
        <w:spacing w:before="0" w:after="0" w:line="480" w:lineRule="auto"/>
        <w:ind w:firstLine="0" w:firstLineChars="0"/>
        <w:jc w:val="center"/>
        <w:rPr>
          <w:rFonts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项目名称：存储系统更新项目</w:t>
      </w:r>
    </w:p>
    <w:p>
      <w:pPr>
        <w:pStyle w:val="20"/>
        <w:spacing w:before="0" w:after="0" w:line="480" w:lineRule="auto"/>
        <w:ind w:firstLine="1767" w:firstLineChars="400"/>
        <w:jc w:val="both"/>
        <w:rPr>
          <w:rFonts w:ascii="仿宋" w:hAnsi="仿宋" w:eastAsia="仿宋" w:cs="仿宋"/>
          <w:b/>
          <w:bCs/>
          <w:color w:val="000000" w:themeColor="text1"/>
          <w:sz w:val="44"/>
          <w:szCs w:val="44"/>
          <w14:textFill>
            <w14:solidFill>
              <w14:schemeClr w14:val="tx1"/>
            </w14:solidFill>
          </w14:textFill>
        </w:rPr>
      </w:pPr>
    </w:p>
    <w:p>
      <w:pPr>
        <w:pStyle w:val="20"/>
        <w:spacing w:before="0" w:after="0" w:line="480" w:lineRule="auto"/>
        <w:ind w:firstLine="1767" w:firstLineChars="400"/>
        <w:jc w:val="both"/>
        <w:rPr>
          <w:rFonts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项目编号：NJDCX-202311221356</w:t>
      </w:r>
    </w:p>
    <w:p>
      <w:pPr>
        <w:pStyle w:val="20"/>
        <w:spacing w:before="0" w:after="0" w:line="480" w:lineRule="auto"/>
        <w:ind w:firstLine="723"/>
        <w:jc w:val="center"/>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723"/>
        <w:jc w:val="center"/>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723"/>
        <w:jc w:val="both"/>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0" w:firstLineChars="0"/>
        <w:jc w:val="both"/>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723"/>
        <w:jc w:val="center"/>
        <w:rPr>
          <w:rFonts w:ascii="仿宋" w:hAnsi="仿宋" w:eastAsia="仿宋" w:cs="仿宋"/>
          <w:b/>
          <w:bCs/>
          <w:color w:val="000000" w:themeColor="text1"/>
          <w:sz w:val="36"/>
          <w:szCs w:val="36"/>
          <w14:textFill>
            <w14:solidFill>
              <w14:schemeClr w14:val="tx1"/>
            </w14:solidFill>
          </w14:textFill>
        </w:rPr>
      </w:pPr>
    </w:p>
    <w:p>
      <w:pPr>
        <w:pStyle w:val="20"/>
        <w:spacing w:before="0" w:after="0"/>
        <w:ind w:firstLine="723"/>
        <w:jc w:val="center"/>
        <w:rPr>
          <w:rFonts w:ascii="仿宋" w:hAnsi="仿宋" w:eastAsia="仿宋" w:cs="仿宋"/>
          <w:b/>
          <w:bCs/>
          <w:color w:val="000000" w:themeColor="text1"/>
          <w:sz w:val="36"/>
          <w:szCs w:val="36"/>
          <w14:textFill>
            <w14:solidFill>
              <w14:schemeClr w14:val="tx1"/>
            </w14:solidFill>
          </w14:textFill>
        </w:rPr>
      </w:pPr>
    </w:p>
    <w:p>
      <w:pPr>
        <w:pStyle w:val="20"/>
        <w:spacing w:before="0" w:after="0" w:line="480" w:lineRule="auto"/>
        <w:ind w:firstLine="0" w:firstLineChars="0"/>
        <w:jc w:val="center"/>
        <w:rPr>
          <w:rFonts w:ascii="仿宋" w:hAnsi="仿宋" w:eastAsia="仿宋" w:cs="仿宋"/>
          <w:b/>
          <w:bCs/>
          <w:color w:val="000000" w:themeColor="text1"/>
          <w:sz w:val="36"/>
          <w:szCs w:val="36"/>
          <w14:textFill>
            <w14:solidFill>
              <w14:schemeClr w14:val="tx1"/>
            </w14:solidFill>
          </w14:textFill>
        </w:rPr>
      </w:pPr>
    </w:p>
    <w:p>
      <w:pPr>
        <w:pStyle w:val="20"/>
        <w:spacing w:before="0" w:after="0" w:line="480" w:lineRule="auto"/>
        <w:ind w:firstLine="0" w:firstLineChars="0"/>
        <w:jc w:val="center"/>
        <w:rPr>
          <w:rFonts w:ascii="仿宋" w:hAnsi="仿宋" w:eastAsia="仿宋" w:cs="仿宋"/>
          <w:b/>
          <w:bCs/>
          <w:color w:val="000000" w:themeColor="text1"/>
          <w:sz w:val="36"/>
          <w:szCs w:val="36"/>
          <w14:textFill>
            <w14:solidFill>
              <w14:schemeClr w14:val="tx1"/>
            </w14:solidFill>
          </w14:textFill>
        </w:rPr>
      </w:pPr>
      <w:r>
        <w:rPr>
          <w:rFonts w:hint="eastAsia" w:ascii="仿宋" w:hAnsi="仿宋" w:eastAsia="仿宋" w:cs="仿宋"/>
          <w:b/>
          <w:bCs/>
          <w:color w:val="000000" w:themeColor="text1"/>
          <w:sz w:val="36"/>
          <w:szCs w:val="36"/>
          <w14:textFill>
            <w14:solidFill>
              <w14:schemeClr w14:val="tx1"/>
            </w14:solidFill>
          </w14:textFill>
        </w:rPr>
        <w:t>采 购 人：江苏省高级人民法院</w:t>
      </w:r>
    </w:p>
    <w:p>
      <w:pPr>
        <w:pStyle w:val="20"/>
        <w:spacing w:before="0" w:after="0" w:line="480" w:lineRule="auto"/>
        <w:ind w:firstLine="0" w:firstLineChars="0"/>
        <w:jc w:val="center"/>
        <w:rPr>
          <w:rFonts w:ascii="仿宋" w:hAnsi="仿宋" w:eastAsia="仿宋" w:cs="仿宋"/>
          <w:b/>
          <w:bCs/>
          <w:color w:val="000000" w:themeColor="text1"/>
          <w:sz w:val="36"/>
          <w:szCs w:val="36"/>
          <w14:textFill>
            <w14:solidFill>
              <w14:schemeClr w14:val="tx1"/>
            </w14:solidFill>
          </w14:textFill>
        </w:rPr>
      </w:pPr>
      <w:r>
        <w:rPr>
          <w:rFonts w:hint="eastAsia" w:ascii="仿宋" w:hAnsi="仿宋" w:eastAsia="仿宋" w:cs="仿宋"/>
          <w:b/>
          <w:bCs/>
          <w:color w:val="000000" w:themeColor="text1"/>
          <w:sz w:val="36"/>
          <w:szCs w:val="36"/>
          <w14:textFill>
            <w14:solidFill>
              <w14:schemeClr w14:val="tx1"/>
            </w14:solidFill>
          </w14:textFill>
        </w:rPr>
        <w:t>代理机构：南京达琛鑫工程咨询有限公司</w:t>
      </w:r>
    </w:p>
    <w:p>
      <w:pPr>
        <w:pStyle w:val="20"/>
        <w:spacing w:before="0" w:after="0" w:line="480" w:lineRule="auto"/>
        <w:ind w:firstLine="0" w:firstLineChars="0"/>
        <w:jc w:val="center"/>
        <w:rPr>
          <w:rFonts w:ascii="仿宋" w:hAnsi="仿宋" w:eastAsia="仿宋" w:cs="仿宋"/>
          <w:b/>
          <w:bCs/>
          <w:color w:val="000000" w:themeColor="text1"/>
          <w:sz w:val="36"/>
          <w:szCs w:val="36"/>
          <w14:textFill>
            <w14:solidFill>
              <w14:schemeClr w14:val="tx1"/>
            </w14:solidFill>
          </w14:textFill>
        </w:rPr>
      </w:pPr>
    </w:p>
    <w:p>
      <w:pPr>
        <w:pStyle w:val="20"/>
        <w:spacing w:before="0" w:after="0" w:line="480" w:lineRule="auto"/>
        <w:ind w:firstLine="0" w:firstLineChars="0"/>
        <w:jc w:val="center"/>
        <w:rPr>
          <w:rFonts w:ascii="仿宋" w:hAnsi="仿宋" w:eastAsia="仿宋" w:cs="仿宋"/>
          <w:color w:val="000000" w:themeColor="text1"/>
          <w:kern w:val="2"/>
          <w:sz w:val="30"/>
          <w:szCs w:val="30"/>
          <w14:textFill>
            <w14:solidFill>
              <w14:schemeClr w14:val="tx1"/>
            </w14:solidFill>
          </w14:textFill>
        </w:rPr>
      </w:pPr>
      <w:r>
        <w:rPr>
          <w:rFonts w:hint="eastAsia" w:ascii="仿宋" w:hAnsi="仿宋" w:eastAsia="仿宋" w:cs="仿宋"/>
          <w:b/>
          <w:bCs/>
          <w:color w:val="000000" w:themeColor="text1"/>
          <w:sz w:val="36"/>
          <w:szCs w:val="36"/>
          <w14:textFill>
            <w14:solidFill>
              <w14:schemeClr w14:val="tx1"/>
            </w14:solidFill>
          </w14:textFill>
        </w:rPr>
        <w:t>二 〇 二 三 年 十 一 月</w:t>
      </w:r>
    </w:p>
    <w:p>
      <w:pPr>
        <w:spacing w:line="480" w:lineRule="auto"/>
        <w:jc w:val="center"/>
        <w:rPr>
          <w:rFonts w:ascii="仿宋" w:hAnsi="仿宋" w:eastAsia="仿宋" w:cs="仿宋"/>
          <w:b/>
          <w:bCs/>
          <w:color w:val="000000" w:themeColor="text1"/>
          <w:sz w:val="30"/>
          <w:szCs w:val="30"/>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856" w:bottom="1440" w:left="1140" w:header="624" w:footer="964" w:gutter="0"/>
          <w:cols w:space="0" w:num="1"/>
          <w:titlePg/>
          <w:docGrid w:type="lines" w:linePitch="312" w:charSpace="0"/>
        </w:sectPr>
      </w:pPr>
    </w:p>
    <w:p>
      <w:pPr>
        <w:spacing w:line="240" w:lineRule="atLeast"/>
        <w:jc w:val="center"/>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目  录</w:t>
      </w:r>
    </w:p>
    <w:p>
      <w:pPr>
        <w:pStyle w:val="12"/>
        <w:tabs>
          <w:tab w:val="right" w:leader="dot" w:pos="9174"/>
        </w:tabs>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TOC \o "1-1" \h \u </w:instrText>
      </w:r>
      <w:r>
        <w:rPr>
          <w:rFonts w:hint="eastAsia" w:ascii="仿宋" w:hAnsi="仿宋" w:eastAsia="仿宋" w:cs="仿宋"/>
          <w:color w:val="000000" w:themeColor="text1"/>
          <w14:textFill>
            <w14:solidFill>
              <w14:schemeClr w14:val="tx1"/>
            </w14:solidFill>
          </w14:textFill>
        </w:rPr>
        <w:fldChar w:fldCharType="separate"/>
      </w:r>
      <w:r>
        <w:fldChar w:fldCharType="begin"/>
      </w:r>
      <w:r>
        <w:instrText xml:space="preserve"> HYPERLINK \l "_Toc28413" </w:instrText>
      </w:r>
      <w:r>
        <w:fldChar w:fldCharType="separate"/>
      </w:r>
      <w:r>
        <w:rPr>
          <w:rFonts w:hint="eastAsia" w:ascii="仿宋" w:hAnsi="仿宋" w:eastAsia="仿宋" w:cs="仿宋"/>
        </w:rPr>
        <w:t>第一章  采购邀请</w:t>
      </w:r>
      <w:r>
        <w:tab/>
      </w:r>
      <w:r>
        <w:fldChar w:fldCharType="begin"/>
      </w:r>
      <w:r>
        <w:instrText xml:space="preserve"> PAGEREF _Toc28413 \h </w:instrText>
      </w:r>
      <w:r>
        <w:fldChar w:fldCharType="separate"/>
      </w:r>
      <w:r>
        <w:t>1</w:t>
      </w:r>
      <w:r>
        <w:fldChar w:fldCharType="end"/>
      </w:r>
      <w:r>
        <w:fldChar w:fldCharType="end"/>
      </w:r>
    </w:p>
    <w:p>
      <w:pPr>
        <w:pStyle w:val="12"/>
        <w:tabs>
          <w:tab w:val="right" w:leader="dot" w:pos="9174"/>
        </w:tabs>
      </w:pPr>
      <w:r>
        <w:fldChar w:fldCharType="begin"/>
      </w:r>
      <w:r>
        <w:instrText xml:space="preserve"> HYPERLINK \l "_Toc26328" </w:instrText>
      </w:r>
      <w:r>
        <w:fldChar w:fldCharType="separate"/>
      </w:r>
      <w:r>
        <w:rPr>
          <w:rFonts w:hint="eastAsia" w:ascii="仿宋" w:hAnsi="仿宋" w:eastAsia="仿宋" w:cs="仿宋"/>
        </w:rPr>
        <w:t>第二章  磋商须知</w:t>
      </w:r>
      <w:r>
        <w:tab/>
      </w:r>
      <w:r>
        <w:fldChar w:fldCharType="begin"/>
      </w:r>
      <w:r>
        <w:instrText xml:space="preserve"> PAGEREF _Toc26328 \h </w:instrText>
      </w:r>
      <w:r>
        <w:fldChar w:fldCharType="separate"/>
      </w:r>
      <w:r>
        <w:t>4</w:t>
      </w:r>
      <w:r>
        <w:fldChar w:fldCharType="end"/>
      </w:r>
      <w:r>
        <w:fldChar w:fldCharType="end"/>
      </w:r>
    </w:p>
    <w:p>
      <w:pPr>
        <w:pStyle w:val="12"/>
        <w:tabs>
          <w:tab w:val="right" w:leader="dot" w:pos="9174"/>
        </w:tabs>
      </w:pPr>
      <w:r>
        <w:fldChar w:fldCharType="begin"/>
      </w:r>
      <w:r>
        <w:instrText xml:space="preserve"> HYPERLINK \l "_Toc22453" </w:instrText>
      </w:r>
      <w:r>
        <w:fldChar w:fldCharType="separate"/>
      </w:r>
      <w:r>
        <w:rPr>
          <w:rFonts w:hint="eastAsia" w:ascii="仿宋" w:hAnsi="仿宋" w:eastAsia="仿宋" w:cs="仿宋"/>
          <w:caps w:val="0"/>
        </w:rPr>
        <w:t>第三章  合同条款及格式</w:t>
      </w:r>
      <w:r>
        <w:tab/>
      </w:r>
      <w:r>
        <w:fldChar w:fldCharType="begin"/>
      </w:r>
      <w:r>
        <w:instrText xml:space="preserve"> PAGEREF _Toc22453 \h </w:instrText>
      </w:r>
      <w:r>
        <w:fldChar w:fldCharType="separate"/>
      </w:r>
      <w:r>
        <w:t>16</w:t>
      </w:r>
      <w:r>
        <w:fldChar w:fldCharType="end"/>
      </w:r>
      <w:r>
        <w:fldChar w:fldCharType="end"/>
      </w:r>
    </w:p>
    <w:p>
      <w:pPr>
        <w:pStyle w:val="12"/>
        <w:tabs>
          <w:tab w:val="right" w:leader="dot" w:pos="9174"/>
        </w:tabs>
      </w:pPr>
      <w:r>
        <w:fldChar w:fldCharType="begin"/>
      </w:r>
      <w:r>
        <w:instrText xml:space="preserve"> HYPERLINK \l "_Toc17283" </w:instrText>
      </w:r>
      <w:r>
        <w:fldChar w:fldCharType="separate"/>
      </w:r>
      <w:r>
        <w:rPr>
          <w:rFonts w:hint="eastAsia" w:ascii="仿宋" w:hAnsi="仿宋" w:eastAsia="仿宋" w:cs="仿宋"/>
        </w:rPr>
        <w:t>第四章  项目需求</w:t>
      </w:r>
      <w:r>
        <w:tab/>
      </w:r>
      <w:r>
        <w:fldChar w:fldCharType="begin"/>
      </w:r>
      <w:r>
        <w:instrText xml:space="preserve"> PAGEREF _Toc17283 \h </w:instrText>
      </w:r>
      <w:r>
        <w:fldChar w:fldCharType="separate"/>
      </w:r>
      <w:r>
        <w:t>18</w:t>
      </w:r>
      <w:r>
        <w:fldChar w:fldCharType="end"/>
      </w:r>
      <w:r>
        <w:fldChar w:fldCharType="end"/>
      </w:r>
    </w:p>
    <w:p>
      <w:pPr>
        <w:pStyle w:val="12"/>
        <w:tabs>
          <w:tab w:val="right" w:leader="dot" w:pos="9174"/>
        </w:tabs>
      </w:pPr>
      <w:r>
        <w:fldChar w:fldCharType="begin"/>
      </w:r>
      <w:r>
        <w:instrText xml:space="preserve"> HYPERLINK \l "_Toc11736" </w:instrText>
      </w:r>
      <w:r>
        <w:fldChar w:fldCharType="separate"/>
      </w:r>
      <w:r>
        <w:rPr>
          <w:rFonts w:hint="eastAsia" w:ascii="仿宋" w:hAnsi="仿宋" w:eastAsia="仿宋" w:cs="仿宋"/>
        </w:rPr>
        <w:t>第五章  评审方法与评审标准</w:t>
      </w:r>
      <w:r>
        <w:tab/>
      </w:r>
      <w:r>
        <w:fldChar w:fldCharType="begin"/>
      </w:r>
      <w:r>
        <w:instrText xml:space="preserve"> PAGEREF _Toc11736 \h </w:instrText>
      </w:r>
      <w:r>
        <w:fldChar w:fldCharType="separate"/>
      </w:r>
      <w:r>
        <w:t>21</w:t>
      </w:r>
      <w:r>
        <w:fldChar w:fldCharType="end"/>
      </w:r>
      <w:r>
        <w:fldChar w:fldCharType="end"/>
      </w:r>
    </w:p>
    <w:p>
      <w:pPr>
        <w:pStyle w:val="12"/>
        <w:tabs>
          <w:tab w:val="right" w:leader="dot" w:pos="9174"/>
        </w:tabs>
      </w:pPr>
      <w:r>
        <w:fldChar w:fldCharType="begin"/>
      </w:r>
      <w:r>
        <w:instrText xml:space="preserve"> HYPERLINK \l "_Toc27340" </w:instrText>
      </w:r>
      <w:r>
        <w:fldChar w:fldCharType="separate"/>
      </w:r>
      <w:r>
        <w:rPr>
          <w:rFonts w:hint="eastAsia" w:ascii="仿宋" w:hAnsi="仿宋" w:eastAsia="仿宋" w:cs="仿宋"/>
        </w:rPr>
        <w:t>第六章  响应文件格式</w:t>
      </w:r>
      <w:r>
        <w:tab/>
      </w:r>
      <w:r>
        <w:fldChar w:fldCharType="begin"/>
      </w:r>
      <w:r>
        <w:instrText xml:space="preserve"> PAGEREF _Toc27340 \h </w:instrText>
      </w:r>
      <w:r>
        <w:fldChar w:fldCharType="separate"/>
      </w:r>
      <w:r>
        <w:t>24</w:t>
      </w:r>
      <w:r>
        <w:fldChar w:fldCharType="end"/>
      </w:r>
      <w:r>
        <w:fldChar w:fldCharType="end"/>
      </w:r>
    </w:p>
    <w:p>
      <w:pPr>
        <w:widowControl/>
        <w:adjustRightInd w:val="0"/>
        <w:ind w:left="630" w:leftChars="300" w:right="1050" w:rightChars="500"/>
        <w:jc w:val="center"/>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end"/>
      </w:r>
    </w:p>
    <w:p>
      <w:pPr>
        <w:pStyle w:val="21"/>
        <w:pageBreakBefore/>
        <w:widowControl w:val="0"/>
        <w:spacing w:afterLines="0" w:line="360" w:lineRule="auto"/>
        <w:rPr>
          <w:rFonts w:ascii="仿宋" w:hAnsi="仿宋" w:eastAsia="仿宋" w:cs="仿宋"/>
          <w:color w:val="000000" w:themeColor="text1"/>
          <w:sz w:val="40"/>
          <w14:textFill>
            <w14:solidFill>
              <w14:schemeClr w14:val="tx1"/>
            </w14:solidFill>
          </w14:textFill>
        </w:rPr>
        <w:sectPr>
          <w:footerReference r:id="rId10" w:type="first"/>
          <w:footerReference r:id="rId9" w:type="default"/>
          <w:pgSz w:w="11906" w:h="16838"/>
          <w:pgMar w:top="1440" w:right="1366" w:bottom="1440" w:left="1366" w:header="624" w:footer="964" w:gutter="0"/>
          <w:cols w:space="0" w:num="1"/>
          <w:titlePg/>
          <w:docGrid w:type="lines" w:linePitch="312" w:charSpace="0"/>
        </w:sectPr>
      </w:pPr>
    </w:p>
    <w:p>
      <w:pPr>
        <w:pStyle w:val="21"/>
        <w:pageBreakBefore/>
        <w:widowControl w:val="0"/>
        <w:spacing w:afterLines="0" w:line="360" w:lineRule="auto"/>
        <w:rPr>
          <w:rFonts w:ascii="仿宋" w:hAnsi="仿宋" w:eastAsia="仿宋" w:cs="仿宋"/>
          <w:color w:val="000000" w:themeColor="text1"/>
          <w:sz w:val="40"/>
          <w14:textFill>
            <w14:solidFill>
              <w14:schemeClr w14:val="tx1"/>
            </w14:solidFill>
          </w14:textFill>
        </w:rPr>
      </w:pPr>
      <w:bookmarkStart w:id="0" w:name="_Toc25487"/>
      <w:bookmarkStart w:id="1" w:name="_Toc28535"/>
      <w:bookmarkStart w:id="2" w:name="_Toc32219"/>
      <w:bookmarkStart w:id="3" w:name="_Toc28413"/>
      <w:r>
        <w:rPr>
          <w:rFonts w:hint="eastAsia" w:ascii="仿宋" w:hAnsi="仿宋" w:eastAsia="仿宋" w:cs="仿宋"/>
          <w:color w:val="000000" w:themeColor="text1"/>
          <w:sz w:val="40"/>
          <w14:textFill>
            <w14:solidFill>
              <w14:schemeClr w14:val="tx1"/>
            </w14:solidFill>
          </w14:textFill>
        </w:rPr>
        <w:t>第一章  采购邀请</w:t>
      </w:r>
      <w:bookmarkEnd w:id="0"/>
      <w:bookmarkEnd w:id="1"/>
      <w:bookmarkEnd w:id="2"/>
      <w:bookmarkEnd w:id="3"/>
    </w:p>
    <w:p>
      <w:pPr>
        <w:snapToGrid w:val="0"/>
        <w:spacing w:line="360" w:lineRule="auto"/>
        <w:ind w:firstLine="480" w:firstLineChars="200"/>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南京达琛鑫工程咨询有限公司受</w:t>
      </w:r>
      <w:r>
        <w:rPr>
          <w:rFonts w:hint="eastAsia" w:ascii="仿宋" w:hAnsi="仿宋" w:eastAsia="仿宋" w:cs="仿宋"/>
          <w:b/>
          <w:color w:val="000000" w:themeColor="text1"/>
          <w:sz w:val="24"/>
          <w:szCs w:val="24"/>
          <w14:textFill>
            <w14:solidFill>
              <w14:schemeClr w14:val="tx1"/>
            </w14:solidFill>
          </w14:textFill>
        </w:rPr>
        <w:t>江苏省高级人民法院</w:t>
      </w:r>
      <w:r>
        <w:rPr>
          <w:rFonts w:hint="eastAsia" w:ascii="仿宋" w:hAnsi="仿宋" w:eastAsia="仿宋" w:cs="仿宋"/>
          <w:color w:val="000000" w:themeColor="text1"/>
          <w:sz w:val="24"/>
          <w:szCs w:val="24"/>
          <w14:textFill>
            <w14:solidFill>
              <w14:schemeClr w14:val="tx1"/>
            </w14:solidFill>
          </w14:textFill>
        </w:rPr>
        <w:t>的委托，就</w:t>
      </w:r>
      <w:r>
        <w:rPr>
          <w:rFonts w:hint="eastAsia" w:ascii="仿宋" w:hAnsi="仿宋" w:eastAsia="仿宋" w:cs="仿宋"/>
          <w:b/>
          <w:bCs/>
          <w:color w:val="000000" w:themeColor="text1"/>
          <w:sz w:val="24"/>
          <w:szCs w:val="24"/>
          <w14:textFill>
            <w14:solidFill>
              <w14:schemeClr w14:val="tx1"/>
            </w14:solidFill>
          </w14:textFill>
        </w:rPr>
        <w:t>存储系统更新项目</w:t>
      </w:r>
      <w:r>
        <w:rPr>
          <w:rFonts w:hint="eastAsia" w:ascii="仿宋" w:hAnsi="仿宋" w:eastAsia="仿宋" w:cs="仿宋"/>
          <w:color w:val="000000" w:themeColor="text1"/>
          <w:sz w:val="24"/>
          <w:szCs w:val="24"/>
          <w14:textFill>
            <w14:solidFill>
              <w14:schemeClr w14:val="tx1"/>
            </w14:solidFill>
          </w14:textFill>
        </w:rPr>
        <w:t>实施</w:t>
      </w:r>
      <w:r>
        <w:rPr>
          <w:rFonts w:hint="eastAsia" w:ascii="仿宋" w:hAnsi="仿宋" w:eastAsia="仿宋" w:cs="仿宋"/>
          <w:b/>
          <w:bCs/>
          <w:color w:val="000000" w:themeColor="text1"/>
          <w:sz w:val="24"/>
          <w:szCs w:val="24"/>
          <w14:textFill>
            <w14:solidFill>
              <w14:schemeClr w14:val="tx1"/>
            </w14:solidFill>
          </w14:textFill>
        </w:rPr>
        <w:t>竞争性磋商</w:t>
      </w:r>
      <w:r>
        <w:rPr>
          <w:rFonts w:hint="eastAsia" w:ascii="仿宋" w:hAnsi="仿宋" w:eastAsia="仿宋" w:cs="仿宋"/>
          <w:color w:val="000000" w:themeColor="text1"/>
          <w:sz w:val="24"/>
          <w:szCs w:val="24"/>
          <w14:textFill>
            <w14:solidFill>
              <w14:schemeClr w14:val="tx1"/>
            </w14:solidFill>
          </w14:textFill>
        </w:rPr>
        <w:t>采购，兹邀请符合条件的供应商参加磋商及报价。</w:t>
      </w:r>
    </w:p>
    <w:p>
      <w:pPr>
        <w:snapToGrid w:val="0"/>
        <w:spacing w:line="360" w:lineRule="auto"/>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一、采购项目简要说明</w:t>
      </w:r>
    </w:p>
    <w:tbl>
      <w:tblPr>
        <w:tblStyle w:val="15"/>
        <w:tblW w:w="10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665"/>
        <w:gridCol w:w="7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blHeader/>
          <w:jc w:val="center"/>
        </w:trPr>
        <w:tc>
          <w:tcPr>
            <w:tcW w:w="795" w:type="dxa"/>
            <w:vAlign w:val="center"/>
          </w:tcPr>
          <w:p>
            <w:pPr>
              <w:snapToGrid w:val="0"/>
              <w:spacing w:line="360" w:lineRule="auto"/>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665" w:type="dxa"/>
            <w:vAlign w:val="center"/>
          </w:tcPr>
          <w:p>
            <w:pPr>
              <w:snapToGrid w:val="0"/>
              <w:spacing w:line="360" w:lineRule="auto"/>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w:t>
            </w:r>
          </w:p>
        </w:tc>
        <w:tc>
          <w:tcPr>
            <w:tcW w:w="7559" w:type="dxa"/>
            <w:vAlign w:val="center"/>
          </w:tcPr>
          <w:p>
            <w:pPr>
              <w:snapToGrid w:val="0"/>
              <w:spacing w:line="360" w:lineRule="auto"/>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项目名称</w:t>
            </w:r>
          </w:p>
        </w:tc>
        <w:tc>
          <w:tcPr>
            <w:tcW w:w="7559"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themeColor="text1"/>
                <w:sz w:val="24"/>
                <w:szCs w:val="24"/>
                <w14:textFill>
                  <w14:solidFill>
                    <w14:schemeClr w14:val="tx1"/>
                  </w14:solidFill>
                </w14:textFill>
              </w:rPr>
              <w:t>存储系统更新项目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采购方式</w:t>
            </w:r>
          </w:p>
        </w:tc>
        <w:tc>
          <w:tcPr>
            <w:tcW w:w="7559"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采购编号</w:t>
            </w:r>
          </w:p>
        </w:tc>
        <w:tc>
          <w:tcPr>
            <w:tcW w:w="7559"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NJDCX-202311221356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分包</w:t>
            </w:r>
          </w:p>
        </w:tc>
        <w:tc>
          <w:tcPr>
            <w:tcW w:w="7559"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1665"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代理机构</w:t>
            </w:r>
          </w:p>
        </w:tc>
        <w:tc>
          <w:tcPr>
            <w:tcW w:w="7559"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南京达琛鑫工程咨询有限公司</w:t>
            </w:r>
          </w:p>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联系人：徐工    </w:t>
            </w:r>
          </w:p>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电话：025-52639995（分机8009）</w:t>
            </w:r>
          </w:p>
          <w:p>
            <w:pPr>
              <w:snapToGrid w:val="0"/>
              <w:spacing w:line="0" w:lineRule="atLeast"/>
              <w:jc w:val="left"/>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地址：</w:t>
            </w:r>
            <w:r>
              <w:rPr>
                <w:rFonts w:hint="eastAsia" w:ascii="仿宋" w:hAnsi="仿宋" w:eastAsia="仿宋" w:cs="仿宋"/>
                <w:color w:val="000000"/>
                <w:sz w:val="24"/>
                <w:szCs w:val="24"/>
                <w:lang w:eastAsia="zh-CN"/>
              </w:rPr>
              <w:t>南京市秦淮区光华东街6号世界之窗创意产业园15幢4楼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1665"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采购人</w:t>
            </w:r>
          </w:p>
        </w:tc>
        <w:tc>
          <w:tcPr>
            <w:tcW w:w="7559" w:type="dxa"/>
            <w:vAlign w:val="center"/>
          </w:tcPr>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江苏省高级人民法院</w:t>
            </w:r>
          </w:p>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联系人：周工         </w:t>
            </w:r>
          </w:p>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电话：025-83785149</w:t>
            </w:r>
          </w:p>
          <w:p>
            <w:pPr>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color w:val="000000"/>
                <w:sz w:val="24"/>
                <w:szCs w:val="24"/>
              </w:rPr>
              <w:t>地址：江苏省南京市鼓楼区宁海路75号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5"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7</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项目简介</w:t>
            </w:r>
          </w:p>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预算金额</w:t>
            </w:r>
          </w:p>
        </w:tc>
        <w:tc>
          <w:tcPr>
            <w:tcW w:w="7559" w:type="dxa"/>
            <w:vAlign w:val="center"/>
          </w:tcPr>
          <w:p>
            <w:pPr>
              <w:numPr>
                <w:ilvl w:val="0"/>
                <w:numId w:val="3"/>
              </w:num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项目简介</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sz w:val="24"/>
                <w:szCs w:val="24"/>
              </w:rPr>
              <w:t>江苏省高级人民法院主要业务系统目前使用的存储设备为EMC VNX5600、宏杉科技 MS3300，上述设备为2014年间采购，且设备已过维保，维护成本高，因此拟采购2台新的</w:t>
            </w:r>
            <w:r>
              <w:rPr>
                <w:rFonts w:hint="eastAsia" w:ascii="仿宋" w:hAnsi="仿宋" w:eastAsia="仿宋" w:cs="仿宋"/>
                <w:color w:val="000000" w:themeColor="text1"/>
                <w:sz w:val="24"/>
                <w:szCs w:val="24"/>
                <w14:textFill>
                  <w14:solidFill>
                    <w14:schemeClr w14:val="tx1"/>
                  </w14:solidFill>
                </w14:textFill>
              </w:rPr>
              <w:t>存储系统予以替换，并配合进行数据迁移</w:t>
            </w:r>
            <w:r>
              <w:rPr>
                <w:rFonts w:hint="eastAsia" w:ascii="仿宋" w:hAnsi="仿宋" w:eastAsia="仿宋" w:cs="仿宋"/>
                <w:color w:val="000000"/>
                <w:sz w:val="24"/>
                <w:szCs w:val="24"/>
              </w:rPr>
              <w:t>。</w:t>
            </w:r>
          </w:p>
          <w:p>
            <w:pPr>
              <w:pStyle w:val="14"/>
              <w:spacing w:line="360" w:lineRule="auto"/>
              <w:ind w:firstLine="0" w:firstLineChars="0"/>
              <w:jc w:val="left"/>
              <w:rPr>
                <w:rFonts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2、项目预算及最高限价：人民币98万元整</w:t>
            </w:r>
          </w:p>
          <w:p>
            <w:pPr>
              <w:pStyle w:val="14"/>
              <w:spacing w:line="360" w:lineRule="auto"/>
              <w:ind w:firstLine="480"/>
              <w:jc w:val="left"/>
              <w:rPr>
                <w:rFonts w:ascii="仿宋" w:hAnsi="仿宋" w:eastAsia="仿宋" w:cs="仿宋"/>
                <w:b/>
                <w:bCs/>
                <w:i/>
                <w:iCs/>
                <w:sz w:val="24"/>
                <w:szCs w:val="24"/>
                <w:u w:val="single"/>
              </w:rPr>
            </w:pPr>
            <w:r>
              <w:rPr>
                <w:rFonts w:hint="eastAsia" w:ascii="仿宋" w:hAnsi="仿宋" w:eastAsia="仿宋" w:cs="仿宋"/>
                <w:color w:val="000000" w:themeColor="text1"/>
                <w:sz w:val="24"/>
                <w:szCs w:val="24"/>
                <w14:textFill>
                  <w14:solidFill>
                    <w14:schemeClr w14:val="tx1"/>
                  </w14:solidFill>
                </w14:textFill>
              </w:rPr>
              <w:t>磋商小组进行综合评分后按综合评分由高到低推荐三名成交候选供应商，采购人在推荐的成交候选供应商中按顺序确定一名成交供应商。</w:t>
            </w:r>
          </w:p>
          <w:p>
            <w:pPr>
              <w:snapToGrid w:val="0"/>
              <w:spacing w:line="360" w:lineRule="auto"/>
              <w:ind w:firstLine="482"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i/>
                <w:iCs/>
                <w:sz w:val="24"/>
                <w:szCs w:val="24"/>
                <w:u w:val="single"/>
              </w:rPr>
              <w:t>报价超过政府采购预算及最高限价的为无效报价，按照无效响应处理。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8</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磋商保证金</w:t>
            </w:r>
          </w:p>
        </w:tc>
        <w:tc>
          <w:tcPr>
            <w:tcW w:w="7559" w:type="dxa"/>
            <w:vAlign w:val="center"/>
          </w:tcPr>
          <w:p>
            <w:pPr>
              <w:snapToGrid w:val="0"/>
              <w:spacing w:line="360" w:lineRule="auto"/>
              <w:jc w:val="left"/>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9</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答疑</w:t>
            </w:r>
          </w:p>
        </w:tc>
        <w:tc>
          <w:tcPr>
            <w:tcW w:w="7559" w:type="dxa"/>
            <w:vAlign w:val="center"/>
          </w:tcPr>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本项目不进行答疑会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10</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勘察</w:t>
            </w:r>
          </w:p>
        </w:tc>
        <w:tc>
          <w:tcPr>
            <w:tcW w:w="7559" w:type="dxa"/>
            <w:vAlign w:val="center"/>
          </w:tcPr>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本项目不进行勘察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11</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响应文件接收</w:t>
            </w:r>
          </w:p>
        </w:tc>
        <w:tc>
          <w:tcPr>
            <w:tcW w:w="7559" w:type="dxa"/>
            <w:vAlign w:val="center"/>
          </w:tcPr>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时间：2023年12月</w:t>
            </w:r>
            <w:r>
              <w:rPr>
                <w:rFonts w:hint="eastAsia" w:ascii="仿宋" w:hAnsi="仿宋" w:eastAsia="仿宋" w:cs="仿宋"/>
                <w:color w:val="000000" w:themeColor="text1"/>
                <w:sz w:val="24"/>
                <w:szCs w:val="24"/>
                <w:lang w:val="en-US" w:eastAsia="zh-CN"/>
                <w14:textFill>
                  <w14:solidFill>
                    <w14:schemeClr w14:val="tx1"/>
                  </w14:solidFill>
                </w14:textFill>
              </w:rPr>
              <w:t>12</w:t>
            </w:r>
            <w:r>
              <w:rPr>
                <w:rFonts w:hint="eastAsia" w:ascii="仿宋" w:hAnsi="仿宋" w:eastAsia="仿宋" w:cs="仿宋"/>
                <w:color w:val="000000" w:themeColor="text1"/>
                <w:sz w:val="24"/>
                <w:szCs w:val="24"/>
                <w14:textFill>
                  <w14:solidFill>
                    <w14:schemeClr w14:val="tx1"/>
                  </w14:solidFill>
                </w14:textFill>
              </w:rPr>
              <w:t>日</w:t>
            </w:r>
            <w:r>
              <w:rPr>
                <w:rFonts w:hint="eastAsia" w:ascii="仿宋" w:hAnsi="仿宋" w:eastAsia="仿宋" w:cs="仿宋"/>
                <w:color w:val="000000" w:themeColor="text1"/>
                <w:sz w:val="24"/>
                <w:szCs w:val="24"/>
                <w:lang w:val="en-US" w:eastAsia="zh-CN"/>
                <w14:textFill>
                  <w14:solidFill>
                    <w14:schemeClr w14:val="tx1"/>
                  </w14:solidFill>
                </w14:textFill>
              </w:rPr>
              <w:t>上</w:t>
            </w:r>
            <w:r>
              <w:rPr>
                <w:rFonts w:hint="eastAsia" w:ascii="仿宋" w:hAnsi="仿宋" w:eastAsia="仿宋" w:cs="仿宋"/>
                <w:color w:val="000000" w:themeColor="text1"/>
                <w:sz w:val="24"/>
                <w:szCs w:val="24"/>
                <w14:textFill>
                  <w14:solidFill>
                    <w14:schemeClr w14:val="tx1"/>
                  </w14:solidFill>
                </w14:textFill>
              </w:rPr>
              <w:t>午</w:t>
            </w:r>
            <w:r>
              <w:rPr>
                <w:rFonts w:hint="eastAsia" w:ascii="仿宋" w:hAnsi="仿宋" w:eastAsia="仿宋" w:cs="仿宋"/>
                <w:color w:val="000000" w:themeColor="text1"/>
                <w:sz w:val="24"/>
                <w:szCs w:val="24"/>
                <w:lang w:val="en-US" w:eastAsia="zh-CN"/>
                <w14:textFill>
                  <w14:solidFill>
                    <w14:schemeClr w14:val="tx1"/>
                  </w14:solidFill>
                </w14:textFill>
              </w:rPr>
              <w:t>09</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0</w:t>
            </w:r>
            <w:r>
              <w:rPr>
                <w:rFonts w:hint="eastAsia" w:ascii="仿宋" w:hAnsi="仿宋" w:eastAsia="仿宋" w:cs="仿宋"/>
                <w:color w:val="000000" w:themeColor="text1"/>
                <w:sz w:val="24"/>
                <w:szCs w:val="24"/>
                <w14:textFill>
                  <w14:solidFill>
                    <w14:schemeClr w14:val="tx1"/>
                  </w14:solidFill>
                </w14:textFill>
              </w:rPr>
              <w:t>0-</w:t>
            </w:r>
            <w:r>
              <w:rPr>
                <w:rFonts w:hint="eastAsia" w:ascii="仿宋" w:hAnsi="仿宋" w:eastAsia="仿宋" w:cs="仿宋"/>
                <w:color w:val="000000" w:themeColor="text1"/>
                <w:sz w:val="24"/>
                <w:szCs w:val="24"/>
                <w:lang w:val="en-US" w:eastAsia="zh-CN"/>
                <w14:textFill>
                  <w14:solidFill>
                    <w14:schemeClr w14:val="tx1"/>
                  </w14:solidFill>
                </w14:textFill>
              </w:rPr>
              <w:t>09</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0</w:t>
            </w:r>
          </w:p>
          <w:p>
            <w:pPr>
              <w:spacing w:line="360" w:lineRule="auto"/>
              <w:ind w:left="1200" w:hanging="1200" w:hangingChars="5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地点：南京市秦淮区光华东街6号世界之窗创意产业园15号楼3楼左会议室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12</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响应文件数量</w:t>
            </w:r>
          </w:p>
        </w:tc>
        <w:tc>
          <w:tcPr>
            <w:tcW w:w="7559" w:type="dxa"/>
            <w:vAlign w:val="center"/>
          </w:tcPr>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正本份数：1份</w:t>
            </w:r>
          </w:p>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副本份数：3份</w:t>
            </w:r>
          </w:p>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电子文档：1份</w:t>
            </w:r>
            <w:r>
              <w:rPr>
                <w:rFonts w:hint="eastAsia" w:ascii="仿宋" w:hAnsi="仿宋" w:eastAsia="仿宋" w:cs="仿宋"/>
                <w:b/>
                <w:bCs/>
                <w:i/>
                <w:iCs/>
                <w:color w:val="000000" w:themeColor="text1"/>
                <w:sz w:val="24"/>
                <w:szCs w:val="24"/>
                <w:u w:val="single"/>
                <w14:textFill>
                  <w14:solidFill>
                    <w14:schemeClr w14:val="tx1"/>
                  </w14:solidFill>
                </w14:textFill>
              </w:rPr>
              <w:t>（提供PDF版加盖公章扫描件，U盘与正本封装）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13</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响应文件开启</w:t>
            </w:r>
          </w:p>
        </w:tc>
        <w:tc>
          <w:tcPr>
            <w:tcW w:w="7559" w:type="dxa"/>
            <w:vAlign w:val="center"/>
          </w:tcPr>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时间：2023年12月</w:t>
            </w:r>
            <w:r>
              <w:rPr>
                <w:rFonts w:hint="eastAsia" w:ascii="仿宋" w:hAnsi="仿宋" w:eastAsia="仿宋" w:cs="仿宋"/>
                <w:color w:val="000000" w:themeColor="text1"/>
                <w:sz w:val="24"/>
                <w:szCs w:val="24"/>
                <w:lang w:val="en-US" w:eastAsia="zh-CN"/>
                <w14:textFill>
                  <w14:solidFill>
                    <w14:schemeClr w14:val="tx1"/>
                  </w14:solidFill>
                </w14:textFill>
              </w:rPr>
              <w:t>12</w:t>
            </w:r>
            <w:r>
              <w:rPr>
                <w:rFonts w:hint="eastAsia" w:ascii="仿宋" w:hAnsi="仿宋" w:eastAsia="仿宋" w:cs="仿宋"/>
                <w:color w:val="000000" w:themeColor="text1"/>
                <w:sz w:val="24"/>
                <w:szCs w:val="24"/>
                <w14:textFill>
                  <w14:solidFill>
                    <w14:schemeClr w14:val="tx1"/>
                  </w14:solidFill>
                </w14:textFill>
              </w:rPr>
              <w:t>日</w:t>
            </w:r>
            <w:r>
              <w:rPr>
                <w:rFonts w:hint="eastAsia" w:ascii="仿宋" w:hAnsi="仿宋" w:eastAsia="仿宋" w:cs="仿宋"/>
                <w:color w:val="000000" w:themeColor="text1"/>
                <w:sz w:val="24"/>
                <w:szCs w:val="24"/>
                <w:lang w:val="en-US" w:eastAsia="zh-CN"/>
                <w14:textFill>
                  <w14:solidFill>
                    <w14:schemeClr w14:val="tx1"/>
                  </w14:solidFill>
                </w14:textFill>
              </w:rPr>
              <w:t>上</w:t>
            </w:r>
            <w:r>
              <w:rPr>
                <w:rFonts w:hint="eastAsia" w:ascii="仿宋" w:hAnsi="仿宋" w:eastAsia="仿宋" w:cs="仿宋"/>
                <w:color w:val="000000" w:themeColor="text1"/>
                <w:sz w:val="24"/>
                <w:szCs w:val="24"/>
                <w14:textFill>
                  <w14:solidFill>
                    <w14:schemeClr w14:val="tx1"/>
                  </w14:solidFill>
                </w14:textFill>
              </w:rPr>
              <w:t>午</w:t>
            </w:r>
            <w:r>
              <w:rPr>
                <w:rFonts w:hint="eastAsia" w:ascii="仿宋" w:hAnsi="仿宋" w:eastAsia="仿宋" w:cs="仿宋"/>
                <w:color w:val="000000" w:themeColor="text1"/>
                <w:sz w:val="24"/>
                <w:szCs w:val="24"/>
                <w:lang w:val="en-US" w:eastAsia="zh-CN"/>
                <w14:textFill>
                  <w14:solidFill>
                    <w14:schemeClr w14:val="tx1"/>
                  </w14:solidFill>
                </w14:textFill>
              </w:rPr>
              <w:t>09</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0</w:t>
            </w:r>
          </w:p>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地点：南京市秦淮区光华东街6号世界之窗创意产业园15号楼4楼会议室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14</w:t>
            </w:r>
          </w:p>
        </w:tc>
        <w:tc>
          <w:tcPr>
            <w:tcW w:w="1665"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响应文件有效期</w:t>
            </w:r>
          </w:p>
        </w:tc>
        <w:tc>
          <w:tcPr>
            <w:tcW w:w="7559" w:type="dxa"/>
            <w:vAlign w:val="center"/>
          </w:tcPr>
          <w:p>
            <w:pPr>
              <w:snapToGrid w:val="0"/>
              <w:spacing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响应截止时间后九十天</w:t>
            </w:r>
          </w:p>
        </w:tc>
      </w:tr>
    </w:tbl>
    <w:p>
      <w:pPr>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二、合格供应商资格要求</w:t>
      </w:r>
    </w:p>
    <w:p>
      <w:pPr>
        <w:snapToGrid w:val="0"/>
        <w:spacing w:line="360" w:lineRule="auto"/>
        <w:ind w:firstLine="360" w:firstLineChars="150"/>
        <w:textAlignment w:val="baseline"/>
        <w:rPr>
          <w:rFonts w:ascii="仿宋" w:hAnsi="仿宋" w:eastAsia="仿宋" w:cs="仿宋"/>
          <w:color w:val="000000"/>
          <w:sz w:val="24"/>
          <w:szCs w:val="24"/>
        </w:rPr>
      </w:pPr>
      <w:bookmarkStart w:id="4" w:name="_Toc6126"/>
      <w:bookmarkStart w:id="5" w:name="_Toc3756"/>
      <w:bookmarkStart w:id="6" w:name="_Toc18354"/>
      <w:bookmarkStart w:id="7" w:name="_Toc25170480"/>
      <w:bookmarkStart w:id="8" w:name="_Toc18049"/>
      <w:bookmarkStart w:id="9" w:name="_Toc15218"/>
      <w:bookmarkStart w:id="10" w:name="_Toc513029242"/>
      <w:bookmarkStart w:id="11" w:name="_Toc324237147"/>
      <w:bookmarkStart w:id="12" w:name="_Toc14577347"/>
      <w:bookmarkStart w:id="13" w:name="_Toc513029209"/>
      <w:bookmarkStart w:id="14" w:name="_Toc120614221"/>
      <w:bookmarkStart w:id="15" w:name="_Toc479757207"/>
      <w:bookmarkStart w:id="16" w:name="_Toc16938558"/>
      <w:bookmarkStart w:id="17" w:name="_Toc61149549"/>
      <w:bookmarkStart w:id="18" w:name="_Toc20823314"/>
      <w:r>
        <w:rPr>
          <w:rFonts w:hint="eastAsia" w:ascii="仿宋" w:hAnsi="仿宋" w:eastAsia="仿宋" w:cs="仿宋"/>
          <w:color w:val="000000"/>
          <w:sz w:val="24"/>
          <w:szCs w:val="24"/>
        </w:rPr>
        <w:t>(一)满足《中华人民共和国政府采购法》第二十二条规定：</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1、具有独立承担民事责任的能力（提供法人或者其他组织的营业执照复印件并加盖公章，或者自然人的身份证明）；</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2、具有良好的商业信誉和健全的财务会计制度（提供2022年度财务报告或银行出具的企业资信证明，法人或者其他组织成立未满一年的可提供近半年内任一月的资产负债和利润表）；</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3、具有履行合同所必需的设备和专业技术能力（根据项目需求提供履行合同所必需的设备和专业技术能力的证明材料或声明函）；</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4、有依法缴纳税收和社会保障资金的良好记录（提供参加本次采购活动前近六个月内任一月份依法缴纳税收及社会保险的凭据。依法免缴、迟缴的应提供相应文件证明）；</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5、参加本次采购活动前3年内在经营活动中没有重大违法记录（提供参加本次采购活动前3年内在经营活动中没有重大违法记录的书面声明）；</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6、法律、行政法规规定的其他条件。</w:t>
      </w:r>
    </w:p>
    <w:p>
      <w:pPr>
        <w:snapToGrid w:val="0"/>
        <w:spacing w:line="360" w:lineRule="auto"/>
        <w:ind w:firstLine="240" w:firstLineChars="100"/>
        <w:rPr>
          <w:rFonts w:ascii="仿宋" w:hAnsi="仿宋" w:eastAsia="仿宋" w:cs="仿宋"/>
          <w:sz w:val="24"/>
          <w:szCs w:val="24"/>
        </w:rPr>
      </w:pPr>
      <w:r>
        <w:rPr>
          <w:rFonts w:hint="eastAsia" w:ascii="仿宋" w:hAnsi="仿宋" w:eastAsia="仿宋" w:cs="仿宋"/>
          <w:sz w:val="24"/>
          <w:szCs w:val="24"/>
        </w:rPr>
        <w:t>（二）落实政府采购政策需满足的资格要求：无。</w:t>
      </w:r>
    </w:p>
    <w:p>
      <w:pPr>
        <w:snapToGrid w:val="0"/>
        <w:spacing w:line="360" w:lineRule="auto"/>
        <w:ind w:firstLine="240" w:firstLineChars="100"/>
        <w:rPr>
          <w:rFonts w:ascii="仿宋" w:hAnsi="仿宋" w:eastAsia="仿宋" w:cs="仿宋"/>
          <w:sz w:val="24"/>
          <w:szCs w:val="24"/>
        </w:rPr>
      </w:pPr>
      <w:r>
        <w:rPr>
          <w:rFonts w:hint="eastAsia" w:ascii="仿宋" w:hAnsi="仿宋" w:eastAsia="仿宋" w:cs="仿宋"/>
          <w:sz w:val="24"/>
          <w:szCs w:val="24"/>
        </w:rPr>
        <w:t>（三）其他资格条件：无</w:t>
      </w:r>
    </w:p>
    <w:p>
      <w:pPr>
        <w:snapToGrid w:val="0"/>
        <w:spacing w:line="360" w:lineRule="auto"/>
        <w:ind w:firstLine="240" w:firstLineChars="100"/>
        <w:rPr>
          <w:rFonts w:ascii="仿宋" w:hAnsi="仿宋" w:eastAsia="仿宋" w:cs="仿宋"/>
          <w:sz w:val="24"/>
          <w:szCs w:val="24"/>
        </w:rPr>
      </w:pPr>
      <w:r>
        <w:rPr>
          <w:rFonts w:hint="eastAsia" w:ascii="仿宋" w:hAnsi="仿宋" w:eastAsia="仿宋" w:cs="仿宋"/>
          <w:sz w:val="24"/>
          <w:szCs w:val="24"/>
        </w:rPr>
        <w:t>（四）本项目不接受联合体参与磋商。</w:t>
      </w:r>
    </w:p>
    <w:p>
      <w:pPr>
        <w:snapToGrid w:val="0"/>
        <w:spacing w:line="360" w:lineRule="auto"/>
        <w:ind w:firstLine="240" w:firstLineChars="100"/>
        <w:rPr>
          <w:rFonts w:ascii="仿宋" w:hAnsi="仿宋" w:eastAsia="仿宋" w:cs="仿宋"/>
          <w:sz w:val="24"/>
          <w:szCs w:val="24"/>
        </w:rPr>
      </w:pPr>
      <w:r>
        <w:rPr>
          <w:rFonts w:hint="eastAsia" w:ascii="仿宋" w:hAnsi="仿宋" w:eastAsia="仿宋" w:cs="仿宋"/>
          <w:sz w:val="24"/>
          <w:szCs w:val="24"/>
        </w:rPr>
        <w:t>（五）拒绝下述供应商参加本次采购活动：</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1、凡为采购项目提供整体设计、规范编制或者项目管理、监理、检测等服务的供应商。</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2、供应商单位负责人为同一人或者存在直接控股、管理关系的不同供应商,不得参加同一合同项下的采购活动。</w:t>
      </w:r>
    </w:p>
    <w:p>
      <w:pPr>
        <w:snapToGrid w:val="0"/>
        <w:spacing w:line="360" w:lineRule="auto"/>
        <w:ind w:firstLine="360" w:firstLineChars="150"/>
        <w:textAlignment w:val="baseline"/>
        <w:rPr>
          <w:rFonts w:ascii="仿宋" w:hAnsi="仿宋" w:eastAsia="仿宋" w:cs="仿宋"/>
          <w:color w:val="000000"/>
          <w:sz w:val="24"/>
          <w:szCs w:val="24"/>
        </w:rPr>
      </w:pPr>
      <w:r>
        <w:rPr>
          <w:rFonts w:hint="eastAsia" w:ascii="仿宋" w:hAnsi="仿宋" w:eastAsia="仿宋" w:cs="仿宋"/>
          <w:color w:val="000000"/>
          <w:sz w:val="24"/>
          <w:szCs w:val="24"/>
        </w:rPr>
        <w:t>3、在磋商截止日前被“信用中国”网站(www.creditchina.gov.cn)、中国政府采购网(www.ccgp.gov.cn) 列入失信被执行人、重大税收违法案件当事人、政府采购严重违法失信行为记录名单的供应商。</w:t>
      </w:r>
    </w:p>
    <w:bookmarkEnd w:id="4"/>
    <w:p>
      <w:pPr>
        <w:snapToGrid w:val="0"/>
        <w:spacing w:line="360" w:lineRule="auto"/>
        <w:rPr>
          <w:rFonts w:ascii="仿宋" w:hAnsi="仿宋" w:eastAsia="仿宋" w:cs="仿宋"/>
          <w:b/>
          <w:bCs/>
          <w:color w:val="000000" w:themeColor="text1"/>
          <w:sz w:val="24"/>
          <w:szCs w:val="24"/>
          <w14:textFill>
            <w14:solidFill>
              <w14:schemeClr w14:val="tx1"/>
            </w14:solidFill>
          </w14:textFill>
        </w:rPr>
      </w:pPr>
      <w:bookmarkStart w:id="19" w:name="_Toc29160"/>
      <w:bookmarkStart w:id="20" w:name="_Toc324237146"/>
      <w:bookmarkStart w:id="21" w:name="_Toc16747"/>
      <w:bookmarkStart w:id="22" w:name="_Toc120614211"/>
      <w:r>
        <w:rPr>
          <w:rFonts w:hint="eastAsia" w:ascii="仿宋" w:hAnsi="仿宋" w:eastAsia="仿宋" w:cs="仿宋"/>
          <w:b/>
          <w:bCs/>
          <w:color w:val="000000" w:themeColor="text1"/>
          <w:sz w:val="24"/>
          <w:szCs w:val="24"/>
          <w14:textFill>
            <w14:solidFill>
              <w14:schemeClr w14:val="tx1"/>
            </w14:solidFill>
          </w14:textFill>
        </w:rPr>
        <w:t>三、磋商文件获取信息</w:t>
      </w:r>
      <w:bookmarkEnd w:id="19"/>
    </w:p>
    <w:p>
      <w:pPr>
        <w:snapToGrid w:val="0"/>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1、磋商公告在“江苏省招标投标公共服务平台”（https://jszbtb.com/#/newindex）发布。</w:t>
      </w:r>
    </w:p>
    <w:p>
      <w:pPr>
        <w:snapToGrid w:val="0"/>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获取磋商文件时间：2023年11月</w:t>
      </w:r>
      <w:r>
        <w:rPr>
          <w:rFonts w:hint="eastAsia" w:ascii="仿宋" w:hAnsi="仿宋" w:eastAsia="仿宋" w:cs="仿宋"/>
          <w:bCs/>
          <w:sz w:val="24"/>
          <w:szCs w:val="24"/>
          <w:lang w:val="en-US" w:eastAsia="zh-CN"/>
        </w:rPr>
        <w:t>30</w:t>
      </w:r>
      <w:r>
        <w:rPr>
          <w:rFonts w:hint="eastAsia" w:ascii="仿宋" w:hAnsi="仿宋" w:eastAsia="仿宋" w:cs="仿宋"/>
          <w:bCs/>
          <w:sz w:val="24"/>
          <w:szCs w:val="24"/>
        </w:rPr>
        <w:t>日起至2023年1</w:t>
      </w:r>
      <w:r>
        <w:rPr>
          <w:rFonts w:hint="eastAsia" w:ascii="仿宋" w:hAnsi="仿宋" w:eastAsia="仿宋" w:cs="仿宋"/>
          <w:bCs/>
          <w:sz w:val="24"/>
          <w:szCs w:val="24"/>
          <w:lang w:val="en-US" w:eastAsia="zh-CN"/>
        </w:rPr>
        <w:t>2</w:t>
      </w:r>
      <w:r>
        <w:rPr>
          <w:rFonts w:hint="eastAsia" w:ascii="仿宋" w:hAnsi="仿宋" w:eastAsia="仿宋" w:cs="仿宋"/>
          <w:bCs/>
          <w:sz w:val="24"/>
          <w:szCs w:val="24"/>
        </w:rPr>
        <w:t>月</w:t>
      </w:r>
      <w:r>
        <w:rPr>
          <w:rFonts w:hint="eastAsia" w:ascii="仿宋" w:hAnsi="仿宋" w:eastAsia="仿宋" w:cs="仿宋"/>
          <w:bCs/>
          <w:sz w:val="24"/>
          <w:szCs w:val="24"/>
          <w:lang w:val="en-US" w:eastAsia="zh-CN"/>
        </w:rPr>
        <w:t>06</w:t>
      </w:r>
      <w:r>
        <w:rPr>
          <w:rFonts w:hint="eastAsia" w:ascii="仿宋" w:hAnsi="仿宋" w:eastAsia="仿宋" w:cs="仿宋"/>
          <w:bCs/>
          <w:sz w:val="24"/>
          <w:szCs w:val="24"/>
        </w:rPr>
        <w:t>日每天（节假日除外）北京时间09:00-12:00、13:30-17:30。</w:t>
      </w:r>
    </w:p>
    <w:p>
      <w:pPr>
        <w:snapToGrid w:val="0"/>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获取磋商文件地点：南京市秦淮区光华东街6号世界之窗创意产业园15号楼4楼</w:t>
      </w:r>
      <w:r>
        <w:rPr>
          <w:rFonts w:hint="eastAsia" w:ascii="仿宋" w:hAnsi="仿宋" w:eastAsia="仿宋" w:cs="仿宋"/>
          <w:bCs/>
          <w:sz w:val="24"/>
          <w:szCs w:val="24"/>
          <w:lang w:val="en-US" w:eastAsia="zh-CN"/>
        </w:rPr>
        <w:t xml:space="preserve">  </w:t>
      </w:r>
      <w:r>
        <w:rPr>
          <w:rFonts w:hint="eastAsia" w:ascii="仿宋" w:hAnsi="仿宋" w:eastAsia="仿宋" w:cs="仿宋"/>
          <w:bCs/>
          <w:sz w:val="24"/>
          <w:szCs w:val="24"/>
        </w:rPr>
        <w:t>南京达琛鑫工程咨询有限公司，联系电话:025-52639995。</w:t>
      </w:r>
    </w:p>
    <w:p>
      <w:pPr>
        <w:snapToGrid w:val="0"/>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2、本次磋商公告期限为三个工作日，请各位供应商领取本次磋商文件后，认真阅读各项内容，进行必要的准备，按照磋商文件的要求详细填写和编制响应文件，并按以上确定的时间、地点准 时参加磋商活动。有关本次磋商的事项若存在变动或修改，敬请及时关注“江苏省招标投标公共服务平台”发布的信息更正公告。</w:t>
      </w:r>
    </w:p>
    <w:p>
      <w:pPr>
        <w:snapToGrid w:val="0"/>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对项目需求部分的询问、质疑由采购人负责答复。</w:t>
      </w:r>
    </w:p>
    <w:p>
      <w:pPr>
        <w:snapToGrid w:val="0"/>
        <w:spacing w:line="360" w:lineRule="auto"/>
        <w:ind w:firstLine="48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br w:type="page"/>
      </w:r>
    </w:p>
    <w:bookmarkEnd w:id="20"/>
    <w:bookmarkEnd w:id="21"/>
    <w:bookmarkEnd w:id="22"/>
    <w:p>
      <w:pPr>
        <w:pStyle w:val="21"/>
        <w:spacing w:afterLines="0" w:line="360" w:lineRule="auto"/>
        <w:rPr>
          <w:rFonts w:ascii="仿宋" w:hAnsi="仿宋" w:eastAsia="仿宋" w:cs="仿宋"/>
          <w:color w:val="000000" w:themeColor="text1"/>
          <w:sz w:val="40"/>
          <w14:textFill>
            <w14:solidFill>
              <w14:schemeClr w14:val="tx1"/>
            </w14:solidFill>
          </w14:textFill>
        </w:rPr>
      </w:pPr>
      <w:bookmarkStart w:id="23" w:name="_Toc26106"/>
      <w:bookmarkStart w:id="24" w:name="_Toc26328"/>
      <w:bookmarkStart w:id="25" w:name="_Toc17551"/>
      <w:bookmarkStart w:id="26" w:name="_Toc3742"/>
      <w:r>
        <w:rPr>
          <w:rFonts w:hint="eastAsia" w:ascii="仿宋" w:hAnsi="仿宋" w:eastAsia="仿宋" w:cs="仿宋"/>
          <w:color w:val="000000" w:themeColor="text1"/>
          <w:sz w:val="40"/>
          <w14:textFill>
            <w14:solidFill>
              <w14:schemeClr w14:val="tx1"/>
            </w14:solidFill>
          </w14:textFill>
        </w:rPr>
        <w:t>第二章  磋商须知</w:t>
      </w:r>
      <w:bookmarkEnd w:id="5"/>
      <w:bookmarkEnd w:id="6"/>
      <w:bookmarkEnd w:id="7"/>
      <w:bookmarkEnd w:id="8"/>
      <w:bookmarkEnd w:id="9"/>
      <w:bookmarkEnd w:id="23"/>
      <w:bookmarkEnd w:id="24"/>
      <w:bookmarkEnd w:id="25"/>
      <w:bookmarkEnd w:id="26"/>
    </w:p>
    <w:p>
      <w:pPr>
        <w:pStyle w:val="20"/>
        <w:spacing w:before="0" w:after="0"/>
        <w:jc w:val="center"/>
        <w:rPr>
          <w:rFonts w:ascii="仿宋" w:hAnsi="仿宋" w:eastAsia="仿宋" w:cs="仿宋"/>
          <w:color w:val="000000" w:themeColor="text1"/>
          <w14:textFill>
            <w14:solidFill>
              <w14:schemeClr w14:val="tx1"/>
            </w14:solidFill>
          </w14:textFill>
        </w:rPr>
      </w:pPr>
      <w:bookmarkStart w:id="27" w:name="_Toc15873"/>
      <w:bookmarkStart w:id="28" w:name="_Toc7248"/>
      <w:r>
        <w:rPr>
          <w:rFonts w:hint="eastAsia" w:ascii="仿宋" w:hAnsi="仿宋" w:eastAsia="仿宋" w:cs="仿宋"/>
          <w:color w:val="000000" w:themeColor="text1"/>
          <w14:textFill>
            <w14:solidFill>
              <w14:schemeClr w14:val="tx1"/>
            </w14:solidFill>
          </w14:textFill>
        </w:rPr>
        <w:t>（参加竞争性磋商的供应商以下简称“供应商”）</w:t>
      </w:r>
      <w:bookmarkEnd w:id="27"/>
      <w:bookmarkEnd w:id="28"/>
    </w:p>
    <w:p>
      <w:pPr>
        <w:spacing w:line="360" w:lineRule="auto"/>
        <w:ind w:firstLine="480" w:firstLineChars="200"/>
        <w:jc w:val="center"/>
        <w:rPr>
          <w:rFonts w:ascii="仿宋" w:hAnsi="仿宋" w:eastAsia="仿宋" w:cs="仿宋"/>
          <w:color w:val="000000" w:themeColor="text1"/>
          <w:sz w:val="24"/>
          <w:szCs w:val="24"/>
          <w14:textFill>
            <w14:solidFill>
              <w14:schemeClr w14:val="tx1"/>
            </w14:solidFill>
          </w14:textFill>
        </w:rPr>
      </w:pPr>
    </w:p>
    <w:bookmarkEnd w:id="10"/>
    <w:bookmarkEnd w:id="11"/>
    <w:bookmarkEnd w:id="12"/>
    <w:bookmarkEnd w:id="13"/>
    <w:bookmarkEnd w:id="14"/>
    <w:bookmarkEnd w:id="15"/>
    <w:bookmarkEnd w:id="16"/>
    <w:bookmarkEnd w:id="17"/>
    <w:bookmarkEnd w:id="18"/>
    <w:p>
      <w:pPr>
        <w:snapToGrid w:val="0"/>
        <w:spacing w:line="360" w:lineRule="auto"/>
        <w:ind w:firstLine="562" w:firstLineChars="200"/>
        <w:outlineLvl w:val="1"/>
        <w:rPr>
          <w:rFonts w:ascii="仿宋" w:hAnsi="仿宋" w:eastAsia="仿宋" w:cs="仿宋"/>
          <w:b/>
          <w:color w:val="000000" w:themeColor="text1"/>
          <w:sz w:val="28"/>
          <w:szCs w:val="22"/>
          <w14:textFill>
            <w14:solidFill>
              <w14:schemeClr w14:val="tx1"/>
            </w14:solidFill>
          </w14:textFill>
        </w:rPr>
      </w:pPr>
      <w:bookmarkStart w:id="29" w:name="_Toc31586"/>
      <w:bookmarkStart w:id="30" w:name="_Toc23892"/>
      <w:bookmarkStart w:id="31" w:name="_Toc12851"/>
      <w:bookmarkStart w:id="32" w:name="_Toc3426"/>
      <w:bookmarkStart w:id="33" w:name="_Toc28890"/>
      <w:bookmarkStart w:id="34" w:name="_Toc16928"/>
      <w:bookmarkStart w:id="35" w:name="_Toc12478"/>
      <w:bookmarkStart w:id="36" w:name="_Toc29762"/>
      <w:bookmarkStart w:id="37" w:name="_Toc25170481"/>
      <w:bookmarkStart w:id="38" w:name="_Toc14553"/>
      <w:bookmarkStart w:id="39" w:name="_Toc16499"/>
      <w:bookmarkStart w:id="40" w:name="_Toc23520"/>
      <w:bookmarkStart w:id="41" w:name="_Toc13783"/>
      <w:bookmarkStart w:id="42" w:name="_Toc32216"/>
      <w:bookmarkStart w:id="43" w:name="_Toc9830"/>
      <w:bookmarkStart w:id="44" w:name="_Toc324237148"/>
      <w:bookmarkStart w:id="45" w:name="_Toc32263"/>
      <w:bookmarkStart w:id="46" w:name="_Toc26554093"/>
      <w:bookmarkStart w:id="47" w:name="_Toc120614281"/>
      <w:bookmarkStart w:id="48" w:name="_Toc49090575"/>
      <w:bookmarkStart w:id="49" w:name="_Toc462564139"/>
      <w:bookmarkStart w:id="50" w:name="_Toc479757211"/>
      <w:r>
        <w:rPr>
          <w:rFonts w:hint="eastAsia" w:ascii="仿宋" w:hAnsi="仿宋" w:eastAsia="仿宋" w:cs="仿宋"/>
          <w:b/>
          <w:color w:val="000000" w:themeColor="text1"/>
          <w:sz w:val="28"/>
          <w:szCs w:val="22"/>
          <w14:textFill>
            <w14:solidFill>
              <w14:schemeClr w14:val="tx1"/>
            </w14:solidFill>
          </w14:textFill>
        </w:rPr>
        <w:t>一、总则</w:t>
      </w:r>
      <w:bookmarkEnd w:id="29"/>
      <w:bookmarkEnd w:id="30"/>
      <w:bookmarkEnd w:id="31"/>
      <w:bookmarkEnd w:id="32"/>
      <w:bookmarkEnd w:id="33"/>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1、适用范围</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1.1 本竞争性磋商文件（以下简称磋商文件）仅适用</w:t>
      </w:r>
      <w:r>
        <w:rPr>
          <w:rFonts w:hint="eastAsia" w:ascii="仿宋" w:hAnsi="仿宋" w:eastAsia="仿宋" w:cs="仿宋"/>
          <w:color w:val="000000"/>
          <w:sz w:val="24"/>
          <w:szCs w:val="24"/>
        </w:rPr>
        <w:t>存储系统更新项目</w:t>
      </w:r>
      <w:r>
        <w:rPr>
          <w:rFonts w:hint="eastAsia" w:ascii="仿宋" w:hAnsi="仿宋" w:eastAsia="仿宋" w:cs="仿宋"/>
          <w:bCs/>
          <w:color w:val="000000" w:themeColor="text1"/>
          <w:sz w:val="24"/>
          <w14:textFill>
            <w14:solidFill>
              <w14:schemeClr w14:val="tx1"/>
            </w14:solidFill>
          </w14:textFill>
        </w:rPr>
        <w:t>。</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2、项目采购方式</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本次采购采取竞争性磋商的采购方式。</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3、合格的供应商</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3.1满足本磋商文件“采购邀请”中合格供应商资格要求的规定。</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3.2 满足本磋商文件实质性要求和条件的规定。</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4、参加磋商费用</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4.1 供应商应自行承担所有与参加</w:t>
      </w:r>
      <w:r>
        <w:rPr>
          <w:rFonts w:hint="eastAsia" w:ascii="仿宋" w:hAnsi="仿宋" w:eastAsia="仿宋" w:cs="仿宋"/>
          <w:color w:val="000000" w:themeColor="text1"/>
          <w:sz w:val="24"/>
          <w:szCs w:val="24"/>
          <w14:textFill>
            <w14:solidFill>
              <w14:schemeClr w14:val="tx1"/>
            </w14:solidFill>
          </w14:textFill>
        </w:rPr>
        <w:t>竞争性磋商</w:t>
      </w:r>
      <w:r>
        <w:rPr>
          <w:rFonts w:hint="eastAsia" w:ascii="仿宋" w:hAnsi="仿宋" w:eastAsia="仿宋" w:cs="仿宋"/>
          <w:bCs/>
          <w:color w:val="000000" w:themeColor="text1"/>
          <w:sz w:val="24"/>
          <w14:textFill>
            <w14:solidFill>
              <w14:schemeClr w14:val="tx1"/>
            </w14:solidFill>
          </w14:textFill>
        </w:rPr>
        <w:t>有关的费用，无论磋商过程中的做法和结果如何，</w:t>
      </w:r>
      <w:r>
        <w:rPr>
          <w:rFonts w:hint="eastAsia" w:ascii="仿宋" w:hAnsi="仿宋" w:eastAsia="仿宋" w:cs="仿宋"/>
          <w:color w:val="000000" w:themeColor="text1"/>
          <w:sz w:val="24"/>
          <w:szCs w:val="24"/>
          <w14:textFill>
            <w14:solidFill>
              <w14:schemeClr w14:val="tx1"/>
            </w14:solidFill>
          </w14:textFill>
        </w:rPr>
        <w:t>南京达琛鑫工程咨询有限公司</w:t>
      </w:r>
      <w:r>
        <w:rPr>
          <w:rFonts w:hint="eastAsia" w:ascii="仿宋" w:hAnsi="仿宋" w:eastAsia="仿宋" w:cs="仿宋"/>
          <w:bCs/>
          <w:color w:val="000000" w:themeColor="text1"/>
          <w:sz w:val="24"/>
          <w14:textFill>
            <w14:solidFill>
              <w14:schemeClr w14:val="tx1"/>
            </w14:solidFill>
          </w14:textFill>
        </w:rPr>
        <w:t>（以下简称采购代理机构）在任何情况下均无义务和责任承担这些费用。</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4.2本次</w:t>
      </w:r>
      <w:r>
        <w:rPr>
          <w:rFonts w:hint="eastAsia" w:ascii="仿宋" w:hAnsi="仿宋" w:eastAsia="仿宋" w:cs="仿宋"/>
          <w:color w:val="000000" w:themeColor="text1"/>
          <w:sz w:val="24"/>
          <w:szCs w:val="24"/>
          <w14:textFill>
            <w14:solidFill>
              <w14:schemeClr w14:val="tx1"/>
            </w14:solidFill>
          </w14:textFill>
        </w:rPr>
        <w:t>磋商</w:t>
      </w:r>
      <w:r>
        <w:rPr>
          <w:rFonts w:hint="eastAsia" w:ascii="仿宋" w:hAnsi="仿宋" w:eastAsia="仿宋" w:cs="仿宋"/>
          <w:bCs/>
          <w:color w:val="000000" w:themeColor="text1"/>
          <w:sz w:val="24"/>
          <w14:textFill>
            <w14:solidFill>
              <w14:schemeClr w14:val="tx1"/>
            </w14:solidFill>
          </w14:textFill>
        </w:rPr>
        <w:t>收取磋商文件费。</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4.3代理服务费：</w:t>
      </w:r>
      <w:r>
        <w:rPr>
          <w:rFonts w:hint="eastAsia" w:ascii="仿宋" w:hAnsi="仿宋" w:eastAsia="仿宋" w:cs="仿宋"/>
          <w:sz w:val="24"/>
        </w:rPr>
        <w:t>本次采购代理服务费的收取按照苏招协（[2022]002号）《江苏省招标代理服务收费的指导意见》规定的费率按成交金额*1.5%的费率直接计算</w:t>
      </w:r>
      <w:r>
        <w:rPr>
          <w:rFonts w:hint="eastAsia" w:ascii="仿宋" w:hAnsi="仿宋" w:eastAsia="仿宋" w:cs="仿宋"/>
          <w:sz w:val="24"/>
          <w:lang w:eastAsia="zh-CN"/>
        </w:rPr>
        <w:t>，</w:t>
      </w:r>
      <w:r>
        <w:rPr>
          <w:rFonts w:hint="eastAsia" w:ascii="仿宋" w:hAnsi="仿宋" w:eastAsia="仿宋" w:cs="仿宋"/>
          <w:sz w:val="24"/>
          <w:lang w:val="en-US" w:eastAsia="zh-CN"/>
        </w:rPr>
        <w:t>另计专家评审费2500元整</w:t>
      </w:r>
      <w:bookmarkStart w:id="337" w:name="_GoBack"/>
      <w:bookmarkEnd w:id="337"/>
      <w:r>
        <w:rPr>
          <w:rFonts w:hint="eastAsia" w:ascii="仿宋" w:hAnsi="仿宋" w:eastAsia="仿宋" w:cs="仿宋"/>
          <w:sz w:val="24"/>
        </w:rPr>
        <w:t>，成交供应商领取《成交通知书》时向代理机构缴纳，根据财库〔2018〕2号《政府招标代理机构管理暂行办法》第十五条之规定，凭《成交通知书》与采购人签订合同。</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5、磋商文件的约束力</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供应商一旦购买了本磋商文件并决定参加磋商，即被认为接受了本磋商文件的规定和约束，并且视为自竞争性磋商公告期限届满之日起已经知道或应当知道自身权益是否受到了损害。</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bookmarkStart w:id="51" w:name="_Toc513029213"/>
      <w:bookmarkStart w:id="52" w:name="_Toc31687"/>
      <w:bookmarkStart w:id="53" w:name="_Toc443"/>
      <w:bookmarkStart w:id="54" w:name="_Toc462564072"/>
      <w:bookmarkStart w:id="55" w:name="_Toc61149553"/>
      <w:bookmarkStart w:id="56" w:name="_Toc14577351"/>
      <w:bookmarkStart w:id="57" w:name="_Toc27104"/>
      <w:r>
        <w:rPr>
          <w:rFonts w:hint="eastAsia" w:ascii="仿宋" w:hAnsi="仿宋" w:eastAsia="仿宋" w:cs="仿宋"/>
          <w:b/>
          <w:color w:val="000000" w:themeColor="text1"/>
          <w:sz w:val="24"/>
          <w14:textFill>
            <w14:solidFill>
              <w14:schemeClr w14:val="tx1"/>
            </w14:solidFill>
          </w14:textFill>
        </w:rPr>
        <w:t>6、</w:t>
      </w:r>
      <w:bookmarkStart w:id="58" w:name="_Toc16938527"/>
      <w:bookmarkStart w:id="59" w:name="_Toc462564070"/>
      <w:bookmarkStart w:id="60" w:name="_Toc513029211"/>
      <w:bookmarkStart w:id="61" w:name="_Toc20823283"/>
      <w:r>
        <w:rPr>
          <w:rFonts w:hint="eastAsia" w:ascii="仿宋" w:hAnsi="仿宋" w:eastAsia="仿宋" w:cs="仿宋"/>
          <w:b/>
          <w:color w:val="000000" w:themeColor="text1"/>
          <w:sz w:val="24"/>
          <w14:textFill>
            <w14:solidFill>
              <w14:schemeClr w14:val="tx1"/>
            </w14:solidFill>
          </w14:textFill>
        </w:rPr>
        <w:t>磋商文件的澄清</w:t>
      </w:r>
      <w:bookmarkEnd w:id="58"/>
      <w:bookmarkEnd w:id="59"/>
      <w:bookmarkEnd w:id="60"/>
      <w:bookmarkEnd w:id="61"/>
      <w:r>
        <w:rPr>
          <w:rFonts w:hint="eastAsia" w:ascii="仿宋" w:hAnsi="仿宋" w:eastAsia="仿宋" w:cs="仿宋"/>
          <w:b/>
          <w:color w:val="000000" w:themeColor="text1"/>
          <w:sz w:val="24"/>
          <w14:textFill>
            <w14:solidFill>
              <w14:schemeClr w14:val="tx1"/>
            </w14:solidFill>
          </w14:textFill>
        </w:rPr>
        <w:t>及修改</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6.1任何要求对磋商文件进行澄清的供应商，均应在提交首次响应文件截止时间5日前按采购邀请中的通讯地址，以书面形式通知采购代理机构。提交首次响应文件截止之日前，采购代理机构可以对已发出的磋商文件进行必要的澄清或者修改，澄清或者修改的内容作为磋商文件的组成部分。澄清或者修改的内容可能影响响应文件编制的，采购代理机构将在提交首次响应文件截止时间至少5日前，在“江苏省招标投标公共服务平台”上发布书面更正公告形式通知所有获取磋商文件的供应商。不足5日的，采购代理机构应当顺延提交首次响应文件截止时间。</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6.2采购代理机构可以视采购项目的具体情况，组织供应商进行现场考察或召开磋商前答疑会，但不单独或分别组织只有一个供应商参加的现场考察和答疑会。</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7、政策功能</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7.1中小企业政策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（2）中小企业依据46号文规定的政策获取政府采购合同后，小型、微型企业不得分包或转包给大型、中型企业，中型企业不得分包或转包给大型企业。</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（3）政府采购监督检查、投诉处理及政府采购行政处罚中对中小企业的认定，由货物制造商或者工程、服务供应商注册登记所在地的县级以上人民政府中小企业主管部门负责。</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7.2节能产品政策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根据《财政部、发展改革委、生态环境部、市场监管总局关于调整优化节能产品、环境标志产品政府采购执行机制的通知》（财库〔2019〕9号）和《财政部、发展改革委关于印发节能产品政府采购品目清单的通知》（财库〔2019〕19号）， 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sz w:val="24"/>
        </w:rPr>
        <w:t>（2）参加政府采购活动的节能产品供应商应当提供国家确定的认证机构出具的、处于有效期之内的节能产品产品认证证书</w:t>
      </w:r>
      <w:r>
        <w:rPr>
          <w:rFonts w:hint="eastAsia" w:ascii="仿宋" w:hAnsi="仿宋" w:eastAsia="仿宋" w:cs="仿宋"/>
          <w:bCs/>
          <w:color w:val="000000" w:themeColor="text1"/>
          <w:sz w:val="24"/>
          <w14:textFill>
            <w14:solidFill>
              <w14:schemeClr w14:val="tx1"/>
            </w14:solidFill>
          </w14:textFill>
        </w:rPr>
        <w:t>。</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7.3环境标志产品政策</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根据《财政部、发展改革委、生态环境部、市场监管总局关于调整优化节能产品、环境标志产品政府采购执行机制的通知》（财库〔2019〕9号）和《财政部、生态环境部关于印发环境标志产品政府采购品目清单的通知》（财库〔2019〕18号）， 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（2）参加政府采购活动的环境标志产品供应商应当提供国家确定的认证机构出具的、处于有效期之内的环境标志产品认证证书。</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7.4进口产品政策</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（1）除磋商公告载明接受进口产品参加外，不允许进口产品参加。进口产品认定依照《财政部关于政府采购进口产品管理有关问题的通知》（财办库〔2008〕248号）的规定。</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（2）允许进口产品参加的，满足需求的国内产品可以参加。</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（3）允许进口产品参加的，优先采购向我国企业转让技术、与我国企业签订消化吸收再创新方案的供应商的进口产品。</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7.5未按要求提供相关材料的，不享受相关政策。</w:t>
      </w:r>
    </w:p>
    <w:p>
      <w:pPr>
        <w:snapToGrid w:val="0"/>
        <w:spacing w:line="360" w:lineRule="auto"/>
        <w:ind w:firstLine="562" w:firstLineChars="200"/>
        <w:outlineLvl w:val="1"/>
        <w:rPr>
          <w:rFonts w:ascii="仿宋" w:hAnsi="仿宋" w:eastAsia="仿宋" w:cs="仿宋"/>
          <w:b/>
          <w:color w:val="000000" w:themeColor="text1"/>
          <w:sz w:val="28"/>
          <w:szCs w:val="22"/>
          <w14:textFill>
            <w14:solidFill>
              <w14:schemeClr w14:val="tx1"/>
            </w14:solidFill>
          </w14:textFill>
        </w:rPr>
      </w:pPr>
      <w:bookmarkStart w:id="62" w:name="_Toc7399"/>
      <w:bookmarkStart w:id="63" w:name="_Toc17306"/>
      <w:bookmarkStart w:id="64" w:name="_Toc8875"/>
      <w:r>
        <w:rPr>
          <w:rFonts w:hint="eastAsia" w:ascii="仿宋" w:hAnsi="仿宋" w:eastAsia="仿宋" w:cs="仿宋"/>
          <w:b/>
          <w:color w:val="000000" w:themeColor="text1"/>
          <w:sz w:val="28"/>
          <w:szCs w:val="22"/>
          <w14:textFill>
            <w14:solidFill>
              <w14:schemeClr w14:val="tx1"/>
            </w14:solidFill>
          </w14:textFill>
        </w:rPr>
        <w:t>二、磋商响应文件的编制</w:t>
      </w:r>
      <w:bookmarkEnd w:id="51"/>
      <w:bookmarkEnd w:id="52"/>
      <w:bookmarkEnd w:id="53"/>
      <w:bookmarkEnd w:id="54"/>
      <w:bookmarkEnd w:id="55"/>
      <w:bookmarkEnd w:id="56"/>
      <w:bookmarkEnd w:id="57"/>
      <w:bookmarkEnd w:id="62"/>
      <w:bookmarkEnd w:id="63"/>
      <w:bookmarkEnd w:id="64"/>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bookmarkStart w:id="65" w:name="_Toc14577361"/>
      <w:bookmarkStart w:id="66" w:name="_Toc61149561"/>
      <w:bookmarkStart w:id="67" w:name="_Toc513029223"/>
      <w:r>
        <w:rPr>
          <w:rFonts w:hint="eastAsia" w:ascii="仿宋" w:hAnsi="仿宋" w:eastAsia="仿宋" w:cs="仿宋"/>
          <w:b/>
          <w:color w:val="000000" w:themeColor="text1"/>
          <w:sz w:val="24"/>
          <w14:textFill>
            <w14:solidFill>
              <w14:schemeClr w14:val="tx1"/>
            </w14:solidFill>
          </w14:textFill>
        </w:rPr>
        <w:t>1、磋商响应文件份数和签署</w:t>
      </w:r>
      <w:bookmarkEnd w:id="65"/>
      <w:bookmarkEnd w:id="66"/>
      <w:bookmarkEnd w:id="67"/>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1.1供应商应严格按照采购邀请要求准备磋商响应文件（以下简称响应文件），每份响应文件须清楚地标明“正本”或“副本”字样。</w:t>
      </w:r>
    </w:p>
    <w:p>
      <w:pPr>
        <w:snapToGrid w:val="0"/>
        <w:spacing w:line="360" w:lineRule="auto"/>
        <w:ind w:firstLine="482" w:firstLineChars="200"/>
        <w:rPr>
          <w:rFonts w:ascii="仿宋" w:hAnsi="仿宋" w:eastAsia="仿宋" w:cs="仿宋"/>
          <w:b/>
          <w:color w:val="000000" w:themeColor="text1"/>
          <w:sz w:val="24"/>
          <w:u w:val="single"/>
          <w14:textFill>
            <w14:solidFill>
              <w14:schemeClr w14:val="tx1"/>
            </w14:solidFill>
          </w14:textFill>
        </w:rPr>
      </w:pPr>
      <w:r>
        <w:rPr>
          <w:rFonts w:hint="eastAsia" w:ascii="仿宋" w:hAnsi="仿宋" w:eastAsia="仿宋" w:cs="仿宋"/>
          <w:b/>
          <w:color w:val="000000" w:themeColor="text1"/>
          <w:sz w:val="24"/>
          <w:u w:val="single"/>
          <w14:textFill>
            <w14:solidFill>
              <w14:schemeClr w14:val="tx1"/>
            </w14:solidFill>
          </w14:textFill>
        </w:rPr>
        <w:t>响应文件的正本和所有的副本应当打印或复印或用不褪色墨水书写并装订成册。</w:t>
      </w:r>
      <w:r>
        <w:rPr>
          <w:rFonts w:hint="eastAsia" w:ascii="仿宋" w:hAnsi="仿宋" w:eastAsia="仿宋" w:cs="仿宋"/>
          <w:b/>
          <w:i/>
          <w:iCs/>
          <w:color w:val="000000" w:themeColor="text1"/>
          <w:sz w:val="24"/>
          <w:u w:val="single"/>
          <w14:textFill>
            <w14:solidFill>
              <w14:schemeClr w14:val="tx1"/>
            </w14:solidFill>
          </w14:textFill>
        </w:rPr>
        <w:t>（建议胶装）</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响应文件正本中，除磋商文件规定的可提交复印件外，其他文件均须提交原件，文字材料需打印或用不褪色墨水书写，响应文件正本须经法定代表人或授权代表签字和加盖供应商公章。</w:t>
      </w:r>
      <w:r>
        <w:rPr>
          <w:rFonts w:hint="eastAsia" w:ascii="仿宋" w:hAnsi="仿宋" w:eastAsia="仿宋" w:cs="仿宋"/>
          <w:b/>
          <w:i/>
          <w:iCs/>
          <w:color w:val="000000" w:themeColor="text1"/>
          <w:sz w:val="24"/>
          <w:u w:val="single"/>
          <w14:textFill>
            <w14:solidFill>
              <w14:schemeClr w14:val="tx1"/>
            </w14:solidFill>
          </w14:textFill>
        </w:rPr>
        <w:t>本磋商文件所表述（指定）的公章是指刻有供应商法定名称的印章，不包括合同、财务、税务、发票等形式的业务专用章。</w:t>
      </w:r>
    </w:p>
    <w:p>
      <w:pPr>
        <w:snapToGrid w:val="0"/>
        <w:spacing w:line="360" w:lineRule="auto"/>
        <w:ind w:firstLine="480" w:firstLineChars="200"/>
        <w:rPr>
          <w:rFonts w:ascii="仿宋" w:hAnsi="仿宋" w:eastAsia="仿宋" w:cs="仿宋"/>
          <w:color w:val="000000" w:themeColor="text1"/>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1.2 除供应商对错处做必要修改外，响应文件不得行间插字、涂改或增删。如有修改错漏处，必须由响应文件签署人签字或盖章。</w:t>
      </w:r>
    </w:p>
    <w:p>
      <w:pPr>
        <w:snapToGrid w:val="0"/>
        <w:spacing w:line="360" w:lineRule="auto"/>
        <w:ind w:firstLine="482"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2、响应文件编制要求</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2.1供应商提交的响应文件以及供应商与采购代理机构及采购人就有关磋商的所有来往函电均应使用简体中文。磋商文件中既有中文也有外文的，以中文意译为准。</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2.2 除技术性能另有规定外，响应文件所使用的度量衡单位，均须采用国家法定计量单位。</w:t>
      </w:r>
    </w:p>
    <w:p>
      <w:pPr>
        <w:spacing w:line="360" w:lineRule="auto"/>
        <w:ind w:firstLine="480" w:firstLineChars="200"/>
        <w:jc w:val="left"/>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 响应文件由商务部分、技术部分、价格部分，以及其他部分组成。供应商编写的响应文件应包括资信证明文件、采购配置与报价明细表、技术参数响应及偏离表、商务条款响应及偏离表、技术及售后服务承诺书、磋商函、报价一览表等部分；供应商应当根据磋商文件要求编制响应文件，响应文件应对磋商文件提出的要求和条件作出实质性响应，并在《商务要求响应表》和《技术要求响应表》等处逐条标明满足与否。</w:t>
      </w:r>
      <w:r>
        <w:rPr>
          <w:rFonts w:hint="eastAsia" w:ascii="仿宋" w:hAnsi="仿宋" w:eastAsia="仿宋" w:cs="仿宋"/>
          <w:b/>
          <w:bCs/>
          <w:i/>
          <w:iCs/>
          <w:color w:val="000000" w:themeColor="text1"/>
          <w:sz w:val="24"/>
          <w:szCs w:val="24"/>
          <w:u w:val="single"/>
          <w14:textFill>
            <w14:solidFill>
              <w14:schemeClr w14:val="tx1"/>
            </w14:solidFill>
          </w14:textFill>
        </w:rPr>
        <w:t>对带星号（“★”）的技术条款必须在响应文件中提供技术支持资料（如白皮书、彩页、手册、检测报告等），未提供技术支持资料的，评审时做负偏离处理。带星号（“★”）的商务条款作为实质性要求，必须满足否则作无效响应处理。</w:t>
      </w:r>
    </w:p>
    <w:p>
      <w:pPr>
        <w:spacing w:line="360" w:lineRule="auto"/>
        <w:ind w:firstLine="482" w:firstLineChars="200"/>
        <w:jc w:val="left"/>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注：响应文件的商务部分</w:t>
      </w:r>
    </w:p>
    <w:p>
      <w:pPr>
        <w:spacing w:line="360" w:lineRule="auto"/>
        <w:ind w:firstLine="480" w:firstLineChars="200"/>
        <w:jc w:val="left"/>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商务部分是证明供应商有资格参加磋商和成交后有能力履行合同的文件，这些文件应能满足磋商的要求，包括但不限于下列文件，</w:t>
      </w:r>
      <w:r>
        <w:rPr>
          <w:rFonts w:hint="eastAsia" w:ascii="仿宋" w:hAnsi="仿宋" w:eastAsia="仿宋" w:cs="仿宋"/>
          <w:b/>
          <w:bCs/>
          <w:color w:val="000000" w:themeColor="text1"/>
          <w:sz w:val="24"/>
          <w:szCs w:val="24"/>
          <w14:textFill>
            <w14:solidFill>
              <w14:schemeClr w14:val="tx1"/>
            </w14:solidFill>
          </w14:textFill>
        </w:rPr>
        <w:t>其中加※项目不得有缺失或无效。</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b/>
          <w:bCs/>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磋商函（磋商申请及声明）；</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法定代表人授权委托书及委托代理人的身份证复印件；</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《报价一览表》；</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《报价明细表》；</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第一章采购邀请中《中华人民共和国政府采购法》规定的资格条件证明文件；</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（6）第一章采购邀请中采购人根据采购项目的特殊要求规定的特定条件证明文件；</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（7）《商务要求响应表》；</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（8）供应商认为需要提供的其他资格证明文件和商务资料等。</w:t>
      </w:r>
    </w:p>
    <w:p>
      <w:pPr>
        <w:spacing w:line="360" w:lineRule="auto"/>
        <w:ind w:firstLine="482" w:firstLineChars="200"/>
        <w:jc w:val="left"/>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响应文件的技术部分</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技术部分是证明供应商提供的产品或服务是合格的、并符合磋商文件要求的证明文件，以及对响应报价表中的服务的详细说明，这些文件可以是文字资料、图纸和数据等。若技术性能无特殊说明，则按国家有关部门最新颁布的标准及规范为准； 提供的产品或服务如与磋商文件要求有不符之处，应说明其差别之所在，并在《技术或服务要求响应表》中逐条予以说明。</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响应文件应按照磋商文件要求提供技术资料、文件和有关证明，包括但不限于下列文件，</w:t>
      </w:r>
      <w:r>
        <w:rPr>
          <w:rFonts w:hint="eastAsia" w:ascii="仿宋" w:hAnsi="仿宋" w:eastAsia="仿宋" w:cs="仿宋"/>
          <w:b/>
          <w:bCs/>
          <w:color w:val="000000" w:themeColor="text1"/>
          <w:sz w:val="24"/>
          <w:szCs w:val="24"/>
          <w14:textFill>
            <w14:solidFill>
              <w14:schemeClr w14:val="tx1"/>
            </w14:solidFill>
          </w14:textFill>
        </w:rPr>
        <w:t>其中加※项目不得有缺失或无效</w:t>
      </w:r>
      <w:r>
        <w:rPr>
          <w:rFonts w:hint="eastAsia" w:ascii="仿宋" w:hAnsi="仿宋" w:eastAsia="仿宋" w:cs="仿宋"/>
          <w:color w:val="000000" w:themeColor="text1"/>
          <w:sz w:val="24"/>
          <w:szCs w:val="24"/>
          <w14:textFill>
            <w14:solidFill>
              <w14:schemeClr w14:val="tx1"/>
            </w14:solidFill>
          </w14:textFill>
        </w:rPr>
        <w:t>：</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项目实施方案；</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《技术或服务要求响应表》；</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（3）履约能力及综合实力；</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（4）服务方案与承诺；</w:t>
      </w:r>
    </w:p>
    <w:p>
      <w:pPr>
        <w:spacing w:line="360" w:lineRule="auto"/>
        <w:ind w:firstLine="480" w:firstLineChars="200"/>
        <w:jc w:val="left"/>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（5）技术团队配置；</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（6）供应商认为需要提供的其他技术资料。</w:t>
      </w:r>
    </w:p>
    <w:p>
      <w:pPr>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 供应商应将响应文件按顺序装订成册，并编制响应文件资料目录。</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3、参加供应商资格的文件证明</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3.1供应商应提交证明其有资格参加磋商和成交后有能力独立履行合同的文件，并作为其响应文件的一部分。</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3.2供应商除必须具有履行合同所需提供的设备以及服务的能力外，还必须具备相应的财务、技术方面的能力。</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3.3供应商应填写并提交磋商文件所附的“资格证明文件”。</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4、磋商响应报价表</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4.1供应商应按照磋商文件规定格式填报磋商响应报价表(报价一览表）。每项产品或服务只允许有一个报价，任何有选择的报价将不予接受，磋商文件中另有规定的按规定执行。</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4.2标的物</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详见采购需求所述要求。</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4.3有关费用处理</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本次采购供应商的报价应包括为完成本项目发生的所有费用，本磋商文件中另有规定的除外。</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4.4其它费用处理</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磋商文件未列明，而供应商认为必须的费用也须列入报价。</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4.5报价采用的货币</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响应文件中的单价和总价，无特殊规定的采用人民币报价，以元为单位标注。磋商文件中另有规定的按规定执行。</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4.6 磋商响应报价表上的价格应按磋商文件规定填写。</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5、项目需求响应方案</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5.1提供为完成本项目的总体实施方案。</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5.2对磋商文件中项目需求的技术与商务条款要求逐项作出应答，并提供依据或说明。</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5.3供应商认为需要的其他技术文件或说明。</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6、磋商保证金</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6.1本项目不收取磋商保证金。</w:t>
      </w:r>
    </w:p>
    <w:p>
      <w:pPr>
        <w:pStyle w:val="22"/>
        <w:numPr>
          <w:ilvl w:val="255"/>
          <w:numId w:val="0"/>
        </w:numPr>
        <w:spacing w:line="360" w:lineRule="auto"/>
        <w:rPr>
          <w:rFonts w:ascii="仿宋" w:hAnsi="仿宋" w:eastAsia="仿宋" w:cs="仿宋"/>
          <w:color w:val="000000" w:themeColor="text1"/>
          <w14:textFill>
            <w14:solidFill>
              <w14:schemeClr w14:val="tx1"/>
            </w14:solidFill>
          </w14:textFill>
        </w:rPr>
      </w:pPr>
      <w:bookmarkStart w:id="68" w:name="_Toc18678"/>
      <w:bookmarkStart w:id="69" w:name="_Toc14484_WPSOffice_Level2"/>
      <w:bookmarkStart w:id="70" w:name="_Toc9965"/>
      <w:bookmarkStart w:id="71" w:name="_Toc20921"/>
      <w:bookmarkStart w:id="72" w:name="_Toc32556"/>
      <w:bookmarkStart w:id="73" w:name="_Toc14295"/>
      <w:bookmarkStart w:id="74" w:name="_Toc19091"/>
      <w:bookmarkStart w:id="75" w:name="_Toc29996"/>
      <w:r>
        <w:rPr>
          <w:rFonts w:hint="eastAsia" w:ascii="仿宋" w:hAnsi="仿宋" w:eastAsia="仿宋" w:cs="仿宋"/>
          <w:color w:val="000000" w:themeColor="text1"/>
          <w14:textFill>
            <w14:solidFill>
              <w14:schemeClr w14:val="tx1"/>
            </w14:solidFill>
          </w14:textFill>
        </w:rPr>
        <w:t>三、响应文件的递交</w:t>
      </w:r>
      <w:bookmarkEnd w:id="68"/>
      <w:bookmarkEnd w:id="69"/>
      <w:bookmarkEnd w:id="70"/>
      <w:bookmarkEnd w:id="71"/>
      <w:bookmarkEnd w:id="72"/>
      <w:bookmarkEnd w:id="73"/>
      <w:bookmarkEnd w:id="74"/>
      <w:bookmarkEnd w:id="75"/>
    </w:p>
    <w:p>
      <w:pPr>
        <w:snapToGrid w:val="0"/>
        <w:spacing w:line="360" w:lineRule="auto"/>
        <w:ind w:firstLine="482"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1、响应文件的密封和标记</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1.1供应商应严格按照采购邀请要求的份数准备响应文件，每份响应文件须清楚地标明“正本”或“副本”字样。一旦正本和副本不符，以正本为准。供应商应将响应文件正本和所有副本密封。</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1.2密封的响应文件应：</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（1）按采购邀请中注明的地址送达规定地点；</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（2）注明参加磋商项目名称、项目编号及参加的分包号；</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（3）密封包装上应写明供应商名称和地址。</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1.3如果密封包装未按要求密封和加写标记，采购代理机构对误投或过早启封概不负责。对由此造成提前开封的响应文件，其风险由供应商自行承担。</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2、响应文件的递交</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2.1采购代理机构收到响应文件的时间不得迟于本磋商文件规定的响应文件接收截止时间。</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2.2响应文件接收截止时间前，采购代理机构有权通过书面通知的形式推迟响应文件接收截止时间，在此情况下，供应商的所有权利和义务以及受制的响应文件接收截止时间均应以延长后新的响应文件接收截止时间为准。</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3、迟交的响应文件</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3.1采购代理机构将拒绝在规定的响应文件接收截止时间后接收响应文件。</w:t>
      </w:r>
    </w:p>
    <w:p>
      <w:pPr>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4、响应文件的修改和撤回</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4.1供应商在递交响应文件后，可以修改或撤回其谈判响应文件，但这种修改和撤回，必须在规定的响应文件接收截止时间前。</w:t>
      </w:r>
    </w:p>
    <w:p>
      <w:pPr>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4.2供应商的修改或撤回通知书，应按本文件规定进行编制、密封、标记和送达，并应在封套上加注“修改”和“撤回”字样。</w:t>
      </w:r>
    </w:p>
    <w:p>
      <w:pPr>
        <w:pStyle w:val="6"/>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4.3响应文件递交，在文件接收截止时间后，递交的文件不允许被撤回。</w:t>
      </w:r>
    </w:p>
    <w:p>
      <w:pPr>
        <w:pStyle w:val="6"/>
        <w:snapToGrid w:val="0"/>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4.4供应商在提交最终报价之前，可以根据磋商情况退出磋商。</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5、磋商响应有效期</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5.1 磋商响应有效期为磋商文件中规定的响应文件接收截止时间起九十（90）天。响应文件中承诺的响应有效期应当不少于磋商文件中载明的磋商响应有效期。</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5.2 在特殊情况下，采购代理机构于原磋商响应有效期满之前，可向供应商提出延长磋商响应有效期的要求。这种要求与答复均应采用书面形式。供应商可以拒绝采购代理机构的这一要求而放弃磋商响应。同意延长磋商响应有效期的供应商既不能要求也不允许修改其响应文件。</w:t>
      </w:r>
    </w:p>
    <w:p>
      <w:pPr>
        <w:pStyle w:val="22"/>
        <w:numPr>
          <w:ilvl w:val="255"/>
          <w:numId w:val="0"/>
        </w:numPr>
        <w:spacing w:line="360" w:lineRule="auto"/>
        <w:rPr>
          <w:rFonts w:ascii="仿宋" w:hAnsi="仿宋" w:eastAsia="仿宋" w:cs="仿宋"/>
        </w:rPr>
      </w:pPr>
      <w:bookmarkStart w:id="76" w:name="_Toc12647"/>
      <w:bookmarkStart w:id="77" w:name="_Toc24899_WPSOffice_Level2"/>
      <w:bookmarkStart w:id="78" w:name="_Toc4897"/>
      <w:bookmarkStart w:id="79" w:name="_Toc21278"/>
      <w:bookmarkStart w:id="80" w:name="_Toc28562"/>
      <w:bookmarkStart w:id="81" w:name="_Toc27651"/>
      <w:bookmarkStart w:id="82" w:name="_Toc2615"/>
      <w:bookmarkStart w:id="83" w:name="_Toc30195"/>
      <w:bookmarkStart w:id="84" w:name="_Toc19230"/>
      <w:bookmarkStart w:id="85" w:name="_Toc22360"/>
      <w:bookmarkStart w:id="86" w:name="_Toc23160"/>
      <w:bookmarkStart w:id="87" w:name="_Toc385"/>
      <w:bookmarkStart w:id="88" w:name="_Toc20"/>
      <w:bookmarkStart w:id="89" w:name="_Toc6546"/>
      <w:r>
        <w:rPr>
          <w:rFonts w:hint="eastAsia" w:ascii="仿宋" w:hAnsi="仿宋" w:eastAsia="仿宋" w:cs="仿宋"/>
        </w:rPr>
        <w:t>四、磋商与评审</w:t>
      </w:r>
      <w:bookmarkEnd w:id="76"/>
      <w:bookmarkEnd w:id="77"/>
      <w:bookmarkEnd w:id="78"/>
      <w:bookmarkEnd w:id="79"/>
      <w:bookmarkEnd w:id="80"/>
      <w:bookmarkEnd w:id="81"/>
      <w:bookmarkEnd w:id="82"/>
      <w:bookmarkEnd w:id="83"/>
      <w:bookmarkEnd w:id="84"/>
      <w:bookmarkEnd w:id="85"/>
      <w:bookmarkEnd w:id="86"/>
      <w:bookmarkEnd w:id="87"/>
      <w:bookmarkEnd w:id="88"/>
      <w:bookmarkEnd w:id="89"/>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1、磋商仪式</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1.1采购代理机构将在采购邀请中规定的时间和地点组织磋商开始仪式，仪式由采购代理机构主持，供应商应委派携带有效证件的代表准时参加，参加仪式的代表需签名以证明其出席。</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2、磋商小组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2.1 磋商开始仪式结束后，采购代理机构将立即组织磋商小组进行评审。</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2.2 磋商小组由政府采购评审专家、采购人代表组成，且人员构成符合政府采购有关规定。</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3、磋商评审过程的保密与公正</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3.1磋商小组、采购人和采购代理机构工作人员、相关监督人员等与评审工作有关的人员，对评审情况以及在评审过程中获悉的国家秘密、商业秘密负有保密责任。</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3.2在磋商评审过程中，供应商不得以任何行为影响磋商评审过程，否则其响应文件将被作为无效响应文件。</w:t>
      </w:r>
    </w:p>
    <w:p>
      <w:pPr>
        <w:snapToGrid w:val="0"/>
        <w:spacing w:line="360" w:lineRule="auto"/>
        <w:ind w:firstLine="480" w:firstLineChars="200"/>
        <w:rPr>
          <w:rFonts w:ascii="仿宋" w:hAnsi="仿宋" w:eastAsia="仿宋" w:cs="仿宋"/>
          <w:b/>
          <w:bCs/>
          <w:sz w:val="24"/>
        </w:rPr>
      </w:pPr>
      <w:r>
        <w:rPr>
          <w:rFonts w:hint="eastAsia" w:ascii="仿宋" w:hAnsi="仿宋" w:eastAsia="仿宋" w:cs="仿宋"/>
          <w:sz w:val="24"/>
        </w:rPr>
        <w:t>3.3磋商小组成员应当按照客观、公正、审慎的原则，根据磋商文件规定的评审程序、评审方法和评审标准进行独立评审。未实质性响应磋商文件的响应文件按无效响应处理，磋商小组</w:t>
      </w:r>
      <w:r>
        <w:rPr>
          <w:rFonts w:hint="eastAsia" w:ascii="仿宋" w:hAnsi="仿宋" w:eastAsia="仿宋" w:cs="仿宋"/>
          <w:b/>
          <w:bCs/>
          <w:sz w:val="24"/>
        </w:rPr>
        <w:t>应当现场告知该供应商无效响应的原因。</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4、评审过程的澄清、说明和更正</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4.1磋商小组在对响应文件的有效性、完整性和响应程度进行审查时，可以要求供应商对响应文件中含义不明确、同类问题表述不一致或者有明显文字和计算错误的内容等作出必要的澄清、说明或者更正，但供应商的澄清、说明或者更正不得超出响应文件的范围或者改变响应文件的实质性内容。</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4.3 接到磋商小组澄清要求的供应商如未按规定做出澄清，其风险由供应商自行承担。</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5、对响应文件的初审</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5.1响应文件初审分为资格性检查和符合性检查。</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资格性检查：依据法律法规和磋商文件的规定，对响应文件中的资格证明文件等进行审查，以确定供应商是否具备参加磋商的资格。</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磋商小组在进行资格性审查的同时，将在“信用中国”网站（www.creditchina.gov.cn）对供应商是否被列入失信被执行人、重大税收违法案件当事人名单、政府采购严重失信行为记录名单情况进行查询，以确定供应商是否具备参加磋商的资格。查询结果将以网页打印的形式留存并归档。</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符合性检查：依据磋商文件的规定，从响应文件的有效性、完整性和对磋商文件的响应程度进行审查，以确定是否对磋商文件的实质性要求作出响应。</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5.2在正式磋商之前，磋商小组将首先审查每份响应文件是否实质性响应了磋商文件的要求。实质性响应的响应文件应该是与磋商文件要求的条款、条件和规格相符，没有重大负偏离或保留。</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所谓重大负偏离或保留是指与磋商文件规定的实质性要求存在负偏离，或者在实质上与磋商文件不一致，而且限制了合同中买方和见证方的权利或供应商的义务，纠正这些偏离或保留将会对其他符合实质性要求的供应商的竞争地位产生不公正的影响。重大偏离由磋商小组按照少数服从多数的原则认定。磋商小组决定响应文件的响应性只根据响应文件本身的内容，而不寻求外部的证据。</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5.3 被认定为未实质性响应磋商文件的响应文件的情形</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（1）未按照磋商文件规定要求签署、盖章的；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（2）供应商在报价时采用选择性报价；</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（3）供应商不符合磋商文件中规定的合格供应商资格要求的；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（4）不符合法律、法规和磋商文件中规定的其他实质性要求和条件的（本磋商文件中有下划线部分为实质性要求和条件）；</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（5）其他法律、法规及本磋商文件规定的属未实质性响应的情形；</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（6）供应商被 “信用中国”网站（www.creditchina.gov.cn）列入失信被执行人或重大税收违法案件当事人名单或政府采购严重失信行为记录名单。</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5.4 未实质性响应磋商文件的响应文件按无效响应处理，磋商小组将予以拒绝，供应商不得通过修改或撤销不合要求的偏离或保留而使其响应文件成为实质性响应的文件。</w:t>
      </w:r>
    </w:p>
    <w:p>
      <w:pPr>
        <w:snapToGrid w:val="0"/>
        <w:spacing w:line="360" w:lineRule="auto"/>
        <w:ind w:firstLine="480" w:firstLineChars="200"/>
        <w:rPr>
          <w:rFonts w:ascii="仿宋" w:hAnsi="仿宋" w:eastAsia="仿宋" w:cs="仿宋"/>
          <w:b/>
          <w:bCs/>
          <w:sz w:val="24"/>
        </w:rPr>
      </w:pPr>
      <w:r>
        <w:rPr>
          <w:rFonts w:hint="eastAsia" w:ascii="仿宋" w:hAnsi="仿宋" w:eastAsia="仿宋" w:cs="仿宋"/>
          <w:sz w:val="24"/>
        </w:rPr>
        <w:t>5.5 磋商小组可依据政府采购相关规定对供应商的响应文件中报价前后不一致的情形进行修正，经供应商确认后产生约束力，供应商不确认的，其响应无效。。</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6、磋商程序及评审方法和标准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6.1磋商程序</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6.1.1 对于通过资格性和符合性审查的供应商，磋商小组所有成员将集中与单一供应商分别进行磋商。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在磋商过程中，磋商小组可以根据磋商文件和磋商情况改变采购需求中的技术、服务要求以及合同草案条款，但不得变动磋商文件中的其他实质性内容。变动的内容，经采购人代表确认后，磋商文件中采购需求的技术、服务要求以及合同草案条款的变动将作为磋商文件的有效组成部分，磋商小组应当及时以书面形式同时通知所有参加磋商的供应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 xml:space="preserve"> 6.1.2 磋商文件能够详细列明采购标的的技术、服务要求的，磋商结束后，磋商小组将要求所有实质性响应的供应商在规定时间内提交最终报价。</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最终报价。</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最终报价是供应商响应文件的有效组成部分。符合《政府采购竞争性磋商采购方式管理暂行办法》第三条第四项及《财政部关于竞争性磋商采购方式管理暂行办法有关问题的补充通知》（财库[2015]124号）规定情形的，提交最终报价的供应商可以为2家。</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6.1.3 供应商未在磋商小组规定的时间内完成最终报价的视为放弃磋商，其磋商响应按无效响应处理。磋商小组根据磋商情况可以要求供应商进行两次或两次以上的报价。磋商小组最后一轮谈判结束后，参加磋商的供应商应当对磋商的承诺和最终报价以书面形式确认，并由法定代表人或其授权人签字或者加盖公章签字或者加盖公章（最终报价将作为评审的依据）。已提交响应文件的供应商，在提交最终报价之前，可以根据磋商情况退出磋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6.2 评审方法和标准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6.2.1评审方法。经磋商确定最终采购需求和提交最终报价的供应商后，由磋商小组采用综合评分法对提交最终报价的供应商的响应文件和最终报价进行综合评分。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综合评分法，是指响应文件满足采购文件全部实质性要求，且按照评审因素的量化指标评审得分最高的供应商为成交候选人的评审方法。</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6.2.2评审标准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见本磋商文件第五章规定。</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6.3采购活动终止的情况</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出现下列情形之一的，本次竞争性磋商采购活动将被终止：</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（1）因情况变化，不再符合规定的竞争性磋商采购方式适用情形的；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 xml:space="preserve">（2）出现影响采购公正的违法、违规行为的； </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（3）除本磋商文件第6.1.2条第三款规定的情形外，在采购过程中符合要求的供应商或者报价未超过采购预算的供应商不足3家的。</w:t>
      </w:r>
    </w:p>
    <w:p>
      <w:pPr>
        <w:pStyle w:val="22"/>
        <w:numPr>
          <w:ilvl w:val="255"/>
          <w:numId w:val="0"/>
        </w:numPr>
        <w:spacing w:line="360" w:lineRule="auto"/>
        <w:rPr>
          <w:rFonts w:ascii="仿宋" w:hAnsi="仿宋" w:eastAsia="仿宋" w:cs="仿宋"/>
        </w:rPr>
      </w:pPr>
      <w:bookmarkStart w:id="90" w:name="_Toc29764"/>
      <w:bookmarkStart w:id="91" w:name="_Toc25927"/>
      <w:bookmarkStart w:id="92" w:name="_Toc26286"/>
      <w:bookmarkStart w:id="93" w:name="_Toc27502"/>
      <w:bookmarkStart w:id="94" w:name="_Toc7849"/>
      <w:bookmarkStart w:id="95" w:name="_Toc32063"/>
      <w:bookmarkStart w:id="96" w:name="_Toc17634_WPSOffice_Level2"/>
      <w:bookmarkStart w:id="97" w:name="_Toc17471"/>
      <w:bookmarkStart w:id="98" w:name="_Toc3520"/>
      <w:bookmarkStart w:id="99" w:name="_Toc26343"/>
      <w:bookmarkStart w:id="100" w:name="_Toc15033"/>
      <w:bookmarkStart w:id="101" w:name="_Toc19451"/>
      <w:bookmarkStart w:id="102" w:name="_Toc21601"/>
      <w:r>
        <w:rPr>
          <w:rFonts w:hint="eastAsia" w:ascii="仿宋" w:hAnsi="仿宋" w:eastAsia="仿宋" w:cs="仿宋"/>
        </w:rPr>
        <w:t>五、成交</w:t>
      </w:r>
      <w:bookmarkEnd w:id="90"/>
      <w:bookmarkEnd w:id="91"/>
      <w:bookmarkEnd w:id="92"/>
      <w:bookmarkEnd w:id="93"/>
      <w:bookmarkEnd w:id="94"/>
      <w:bookmarkEnd w:id="95"/>
      <w:bookmarkEnd w:id="96"/>
      <w:bookmarkEnd w:id="97"/>
      <w:bookmarkEnd w:id="98"/>
      <w:bookmarkEnd w:id="99"/>
      <w:bookmarkEnd w:id="100"/>
      <w:bookmarkEnd w:id="101"/>
      <w:bookmarkEnd w:id="102"/>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1、确定成交单位</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1.1 磋商小组根据综合评分情况，每个分包按照评审得分由高到低顺序推荐3名成交候选供应商，并编写评审报告。符合本文件第6.1.2条情形的，可以推荐2家成交候选供应商。评审得分相同的，按照最终报价由低到高的顺序推荐。评审得分且最终报价相同的，按照技术指标优劣顺序推荐。如合格供应商数量等于拟确定成交的供应商数量，所有合格磋商响应供应商均为成交候选供应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1.2采购人根据磋商小组推荐的成交候选人确定成交供应商。采购人确定成交供应商后，采购代理机构将在</w:t>
      </w:r>
      <w:r>
        <w:rPr>
          <w:rFonts w:hint="eastAsia" w:ascii="仿宋" w:hAnsi="仿宋" w:eastAsia="仿宋" w:cs="仿宋"/>
          <w:sz w:val="24"/>
          <w:szCs w:val="24"/>
        </w:rPr>
        <w:t>“</w:t>
      </w:r>
      <w:r>
        <w:rPr>
          <w:rFonts w:hint="eastAsia" w:ascii="Times New Roman" w:hAnsi="Times New Roman" w:eastAsia="仿宋" w:cs="Times New Roman"/>
          <w:sz w:val="24"/>
          <w:szCs w:val="24"/>
        </w:rPr>
        <w:t>江苏省招标投标公共服务平台</w:t>
      </w:r>
      <w:r>
        <w:rPr>
          <w:rFonts w:hint="eastAsia" w:ascii="仿宋" w:hAnsi="仿宋" w:eastAsia="仿宋" w:cs="仿宋"/>
          <w:sz w:val="24"/>
          <w:szCs w:val="24"/>
        </w:rPr>
        <w:t>”</w:t>
      </w:r>
      <w:r>
        <w:rPr>
          <w:rFonts w:hint="eastAsia" w:ascii="仿宋" w:hAnsi="仿宋" w:eastAsia="仿宋" w:cs="仿宋"/>
          <w:sz w:val="24"/>
        </w:rPr>
        <w:t>发布成交结果公告，公告期限为1个工作日。供应商享受中小企业扶持政策的，随中标、成交结果公开中标、成交供应商的《中小企业声明函》。</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1.3若有充分证据证明，成交供应商出现下列情况之一的，一经查实，将被取消成交资格：</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（1）提供虚假材料谋取成交的；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（2）与评审专家、采购人、其他供应商或者采购代理机构工作人员恶意串通的；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（3）向评审专家、采购人或采购代理机构工作人员行贿或者提供其他不正当利益的；</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（4）成交后无正当理由拒不与采购人签订政府采购合同或者未按照磋商文件确定的事项签订政府采购合同；</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（5）供应商将政府采购合同违法分包转包的。</w:t>
      </w:r>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2、质疑处理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2.1供应商</w:t>
      </w:r>
      <w:r>
        <w:rPr>
          <w:rFonts w:hint="eastAsia" w:ascii="仿宋" w:hAnsi="仿宋" w:eastAsia="仿宋" w:cs="仿宋"/>
          <w:sz w:val="24"/>
          <w:szCs w:val="24"/>
        </w:rPr>
        <w:t>认为采购文件、采购过程和采购结果使自己的权益受到损害的，可以在知道或应知其权益受到损害之日起七个工作日内，以书面形式向采购代理机构或采购人提出质疑。上述应知其权益受到损害之日，是指：</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w:t>
      </w:r>
      <w:r>
        <w:rPr>
          <w:rFonts w:hint="eastAsia" w:ascii="仿宋" w:hAnsi="仿宋" w:eastAsia="仿宋" w:cs="仿宋"/>
          <w:sz w:val="24"/>
          <w:szCs w:val="24"/>
        </w:rPr>
        <w:t>对可以质疑的采购文件提出质疑的，为发出采购公告之日起至采购文件公告期限届满之日；</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（2）对采购过程提出质疑的，为各采购程序环节结束之日；</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（3）对成交结果提出质疑的，为成交结果公告期限届满之日。</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2.2质疑必须按《政府采购法》、《政府采购法实施条例》、中华人民共和国财政部令第94号令《政府采购质疑和投诉办法》的相关规定提交，未按上述要求提交的质疑函（含传真、电子邮件等）采购代理机构有权要求质疑供应商按规定予以修正。</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2.3未参加磋商采购活动的供应商或在磋商采购活动中自身权益未受到损害的供应商所提出的质疑不予受理。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2.4供应商提出质疑应当提交质疑函和必要的证明材料。质疑函应当包括下列内容：</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（1）供应商的姓名或者名称、地址、邮编、联系人及联系电话；</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（2）质疑项目的名称、编号；</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（3）具体、明确的质疑事项和与质疑事项相关的请求；</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（4）事实依据；</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（5）必要的法律依据；</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（6）提出质疑的日期。</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rPr>
        <w:t>质疑人</w:t>
      </w:r>
      <w:r>
        <w:rPr>
          <w:rFonts w:hint="eastAsia" w:ascii="仿宋" w:hAnsi="仿宋" w:eastAsia="仿宋" w:cs="仿宋"/>
          <w:sz w:val="24"/>
          <w:szCs w:val="24"/>
        </w:rPr>
        <w:t>为自然人的，应当由本人签字；供应商为法人或者其他组织的，应当由法定代表人、主要负责人，或者其授权代表签字或者盖章，并加盖公章。</w:t>
      </w:r>
    </w:p>
    <w:p>
      <w:pPr>
        <w:snapToGrid w:val="0"/>
        <w:spacing w:line="360" w:lineRule="auto"/>
        <w:ind w:firstLine="480" w:firstLineChars="200"/>
        <w:textAlignment w:val="baseline"/>
        <w:rPr>
          <w:rFonts w:ascii="仿宋" w:hAnsi="仿宋" w:eastAsia="仿宋" w:cs="仿宋"/>
          <w:sz w:val="24"/>
        </w:rPr>
      </w:pPr>
      <w:r>
        <w:rPr>
          <w:rFonts w:hint="eastAsia" w:ascii="仿宋" w:hAnsi="仿宋" w:eastAsia="仿宋" w:cs="仿宋"/>
          <w:sz w:val="24"/>
          <w:szCs w:val="24"/>
        </w:rPr>
        <w:t>质疑人委托代理质疑的，应当向采购代理机构提交授权委托书，并载明委托代理的具体权限和事项。</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2.5采购代理机构收到质疑函后，将对质疑的形式和内容进行审查，如质疑函内容、格式不符合规定，采购代理机构可以告知质疑人进行必要的修改和补正。</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2.6质疑人应当在法定质疑期限内进行补正并重新提交质疑函。</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2.7</w:t>
      </w:r>
      <w:r>
        <w:rPr>
          <w:rFonts w:hint="eastAsia" w:ascii="仿宋" w:hAnsi="仿宋" w:eastAsia="仿宋" w:cs="仿宋"/>
          <w:sz w:val="24"/>
          <w:szCs w:val="24"/>
        </w:rPr>
        <w:t>采购代理机构应当在收到供应商的书面质疑后七个工作日内作出答复，并以书面形式通知质疑供应商和其他有关供应商，并告知质疑供应商具有投诉的权利。质疑答复的内容不得涉及评审情况与所获知的供应商的商业秘密。</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2.8供应商提出书面质疑必须依据事实和法律依据，不得捏造事实进行恶意或虚假质疑。</w:t>
      </w:r>
    </w:p>
    <w:p>
      <w:pPr>
        <w:pStyle w:val="22"/>
        <w:numPr>
          <w:ilvl w:val="255"/>
          <w:numId w:val="0"/>
        </w:numPr>
        <w:spacing w:line="360" w:lineRule="auto"/>
        <w:rPr>
          <w:rFonts w:ascii="仿宋" w:hAnsi="仿宋" w:eastAsia="仿宋" w:cs="仿宋"/>
        </w:rPr>
      </w:pPr>
      <w:bookmarkStart w:id="103" w:name="_Toc27060"/>
      <w:bookmarkStart w:id="104" w:name="_Toc19386"/>
      <w:bookmarkStart w:id="105" w:name="_Toc30885"/>
      <w:bookmarkStart w:id="106" w:name="_Toc20155"/>
      <w:bookmarkStart w:id="107" w:name="_Toc23046"/>
      <w:bookmarkStart w:id="108" w:name="_Toc12078"/>
      <w:bookmarkStart w:id="109" w:name="_Toc2981"/>
      <w:bookmarkStart w:id="110" w:name="_Toc16008"/>
      <w:bookmarkStart w:id="111" w:name="_Toc16862"/>
      <w:bookmarkStart w:id="112" w:name="_Toc7695"/>
      <w:bookmarkStart w:id="113" w:name="_Toc16562_WPSOffice_Level2"/>
      <w:bookmarkStart w:id="114" w:name="_Toc28124"/>
      <w:bookmarkStart w:id="115" w:name="_Toc19049"/>
      <w:bookmarkStart w:id="116" w:name="_Toc30649"/>
      <w:r>
        <w:rPr>
          <w:rFonts w:hint="eastAsia" w:ascii="仿宋" w:hAnsi="仿宋" w:eastAsia="仿宋" w:cs="仿宋"/>
        </w:rPr>
        <w:t>六、合同签订相关事项</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1、签订合同</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l成交供应商确定后，采购代理机构将向成交供应商发出成交通知书。成交供应商应按成交通知书规定的时间、地点，按照磋商文件确定的事项与采购人签订政府采购合同，且不得迟于成交通知书发出之日起三十日内，由此给采购人造成损失的，成交供应商还应承担赔偿责任。</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1.2 磋商文件、成交供应商的响应文件及磋商采购过程中有关澄清、承诺文件均应作为合同附件。</w:t>
      </w:r>
    </w:p>
    <w:p>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1.3 签订合同后，成交供应商不得将成交产品或服务进行转包。未经采购人同意，成交供应商也不得采用分包的形式履行合同，否则采购人有权终止合同。转包或分包造成采购人损失的，成交供应商应承担相应赔偿责任。</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bCs/>
          <w:sz w:val="24"/>
        </w:rPr>
        <w:t>2、</w:t>
      </w:r>
      <w:r>
        <w:rPr>
          <w:rFonts w:hint="eastAsia" w:ascii="仿宋" w:hAnsi="仿宋" w:eastAsia="仿宋" w:cs="仿宋"/>
          <w:b/>
          <w:sz w:val="24"/>
        </w:rPr>
        <w:t>货物和服务的追加、减少和添购</w:t>
      </w:r>
    </w:p>
    <w:p>
      <w:pPr>
        <w:spacing w:line="360" w:lineRule="auto"/>
        <w:ind w:firstLine="465" w:firstLineChars="194"/>
        <w:textAlignment w:val="baseline"/>
        <w:rPr>
          <w:rFonts w:ascii="仿宋" w:hAnsi="仿宋" w:eastAsia="仿宋" w:cs="仿宋"/>
          <w:iCs/>
          <w:sz w:val="24"/>
        </w:rPr>
      </w:pPr>
      <w:r>
        <w:rPr>
          <w:rFonts w:hint="eastAsia" w:ascii="仿宋" w:hAnsi="仿宋" w:eastAsia="仿宋" w:cs="仿宋"/>
          <w:iCs/>
          <w:sz w:val="24"/>
        </w:rPr>
        <w:t>2.1政府采购合同履行中，采购人需追加与合同标的相同的货物或服务的，在不改变合同其他条款的前提下，可以与供应商协商签订补充合同，但所有补充合同的采购金额不超过原合同金额10%。</w:t>
      </w:r>
    </w:p>
    <w:p>
      <w:pPr>
        <w:spacing w:line="360" w:lineRule="auto"/>
        <w:ind w:firstLine="465" w:firstLineChars="194"/>
        <w:rPr>
          <w:rFonts w:ascii="仿宋" w:hAnsi="仿宋" w:eastAsia="仿宋" w:cs="仿宋"/>
          <w:b/>
          <w:bCs/>
          <w:iCs/>
          <w:color w:val="000000" w:themeColor="text1"/>
          <w:sz w:val="24"/>
          <w14:textFill>
            <w14:solidFill>
              <w14:schemeClr w14:val="tx1"/>
            </w14:solidFill>
          </w14:textFill>
        </w:rPr>
      </w:pPr>
      <w:r>
        <w:rPr>
          <w:rFonts w:hint="eastAsia" w:ascii="仿宋" w:hAnsi="仿宋" w:eastAsia="仿宋" w:cs="仿宋"/>
          <w:iCs/>
          <w:sz w:val="24"/>
        </w:rPr>
        <w:t>2.2采购结束后，采购人若由于各种客观原因，必须对采购项目所牵涉的货物或服务进行适当的减少时，在双方协商一致的前提下，可以按照磋商采购时的价格水平做相应的调减，并据此签订补充合同</w:t>
      </w:r>
      <w:r>
        <w:rPr>
          <w:rFonts w:hint="eastAsia" w:ascii="仿宋" w:hAnsi="仿宋" w:eastAsia="仿宋" w:cs="仿宋"/>
          <w:iCs/>
          <w:color w:val="000000" w:themeColor="text1"/>
          <w:sz w:val="24"/>
          <w14:textFill>
            <w14:solidFill>
              <w14:schemeClr w14:val="tx1"/>
            </w14:solidFill>
          </w14:textFill>
        </w:rPr>
        <w:t>。</w:t>
      </w:r>
    </w:p>
    <w:p>
      <w:pPr>
        <w:rPr>
          <w:rFonts w:ascii="仿宋" w:hAnsi="仿宋" w:eastAsia="仿宋" w:cs="仿宋"/>
          <w:sz w:val="40"/>
        </w:rPr>
      </w:pPr>
      <w:r>
        <w:rPr>
          <w:rFonts w:hint="eastAsia" w:ascii="仿宋" w:hAnsi="仿宋" w:eastAsia="仿宋" w:cs="仿宋"/>
          <w:sz w:val="40"/>
        </w:rPr>
        <w:br w:type="page"/>
      </w:r>
    </w:p>
    <w:bookmarkEnd w:id="34"/>
    <w:bookmarkEnd w:id="35"/>
    <w:bookmarkEnd w:id="36"/>
    <w:bookmarkEnd w:id="37"/>
    <w:bookmarkEnd w:id="38"/>
    <w:bookmarkEnd w:id="39"/>
    <w:bookmarkEnd w:id="40"/>
    <w:bookmarkEnd w:id="41"/>
    <w:bookmarkEnd w:id="42"/>
    <w:bookmarkEnd w:id="43"/>
    <w:p>
      <w:pPr>
        <w:pStyle w:val="21"/>
        <w:pageBreakBefore/>
        <w:spacing w:after="312" w:line="360" w:lineRule="auto"/>
        <w:ind w:firstLine="2811" w:firstLineChars="700"/>
        <w:jc w:val="both"/>
        <w:rPr>
          <w:rFonts w:ascii="仿宋" w:hAnsi="仿宋" w:eastAsia="仿宋" w:cs="仿宋"/>
          <w:color w:val="000000"/>
          <w:sz w:val="40"/>
        </w:rPr>
      </w:pPr>
      <w:bookmarkStart w:id="117" w:name="_Toc22453"/>
      <w:bookmarkStart w:id="118" w:name="_Toc5703"/>
      <w:bookmarkStart w:id="119" w:name="_Toc11425"/>
      <w:r>
        <w:rPr>
          <w:rFonts w:hint="eastAsia" w:ascii="仿宋" w:hAnsi="仿宋" w:eastAsia="仿宋" w:cs="仿宋"/>
          <w:color w:val="000000"/>
          <w:sz w:val="40"/>
        </w:rPr>
        <w:t>第三章  合同条款及格式</w:t>
      </w:r>
      <w:bookmarkEnd w:id="117"/>
      <w:bookmarkEnd w:id="118"/>
      <w:bookmarkEnd w:id="119"/>
    </w:p>
    <w:p>
      <w:pPr>
        <w:spacing w:after="312" w:line="360" w:lineRule="auto"/>
        <w:ind w:firstLine="480"/>
        <w:rPr>
          <w:rFonts w:ascii="仿宋" w:hAnsi="仿宋" w:eastAsia="仿宋" w:cs="仿宋"/>
        </w:rPr>
      </w:pPr>
      <w:r>
        <w:rPr>
          <w:rFonts w:hint="eastAsia" w:ascii="仿宋" w:hAnsi="仿宋" w:eastAsia="仿宋" w:cs="仿宋"/>
          <w:color w:val="000000"/>
          <w:sz w:val="24"/>
          <w:szCs w:val="24"/>
        </w:rPr>
        <w:t>注：本合同草案条款仅为合同的参考，若与项目需求书内容有冲突，以项目需求书为准，合同签订双方可根据项目的具体要求进行修订。</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 xml:space="preserve">项目名称： </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项目编号：</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甲方：（买方）</w:t>
      </w:r>
      <w:r>
        <w:rPr>
          <w:rFonts w:hint="eastAsia" w:ascii="仿宋" w:hAnsi="仿宋" w:eastAsia="仿宋" w:cs="仿宋"/>
          <w:kern w:val="0"/>
          <w:sz w:val="24"/>
          <w:szCs w:val="24"/>
          <w:u w:val="single"/>
        </w:rPr>
        <w:t>江苏省高级人民法院</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乙方：（卖方）</w:t>
      </w:r>
      <w:r>
        <w:rPr>
          <w:rFonts w:hint="eastAsia" w:ascii="仿宋" w:hAnsi="仿宋" w:eastAsia="仿宋" w:cs="仿宋"/>
          <w:kern w:val="0"/>
          <w:sz w:val="24"/>
          <w:szCs w:val="24"/>
          <w:u w:val="single"/>
        </w:rPr>
        <w:t xml:space="preserve">                  </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甲、乙双方根据</w:t>
      </w:r>
      <w:r>
        <w:rPr>
          <w:rFonts w:hint="eastAsia" w:ascii="仿宋" w:hAnsi="仿宋" w:eastAsia="仿宋" w:cs="仿宋"/>
          <w:kern w:val="0"/>
          <w:sz w:val="24"/>
          <w:szCs w:val="24"/>
          <w:u w:val="single"/>
        </w:rPr>
        <w:t xml:space="preserve"> 存储系统更新项目</w:t>
      </w:r>
      <w:r>
        <w:rPr>
          <w:rFonts w:hint="eastAsia" w:ascii="仿宋" w:hAnsi="仿宋" w:eastAsia="仿宋" w:cs="仿宋"/>
          <w:kern w:val="0"/>
          <w:sz w:val="24"/>
          <w:szCs w:val="24"/>
        </w:rPr>
        <w:t>竞争性磋商的结果，签署本合同。</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20" w:name="_Toc17328"/>
      <w:bookmarkStart w:id="121" w:name="_Toc14644"/>
      <w:bookmarkStart w:id="122" w:name="_Toc5609"/>
      <w:r>
        <w:rPr>
          <w:rFonts w:hint="eastAsia" w:ascii="仿宋" w:hAnsi="仿宋" w:eastAsia="仿宋" w:cs="仿宋"/>
          <w:b/>
          <w:bCs/>
          <w:kern w:val="0"/>
          <w:sz w:val="24"/>
          <w:szCs w:val="24"/>
        </w:rPr>
        <w:t>1．合同文件</w:t>
      </w:r>
      <w:bookmarkEnd w:id="120"/>
      <w:bookmarkEnd w:id="121"/>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下列关于江苏臻采招标代理有限公司编号NJDCX-202311221356的采购文件和与本次采购活动方式相适应的文件及有关附件是本合同不可分割的组成部分，与本合同具有同等法律效力，这些文件包括但不限于：</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（1）乙方提供的磋商响应文件和最终报价；</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（2）成交通知书；</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（3）采购文件；</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（4）甲乙双方商定的其他文件。</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上述文件与合同是一个整体，其内容互为补充。如有意义不明确，由采购人和见证方负责解释。</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23" w:name="_Toc27209"/>
      <w:bookmarkStart w:id="124" w:name="_Toc442"/>
      <w:r>
        <w:rPr>
          <w:rFonts w:hint="eastAsia" w:ascii="仿宋" w:hAnsi="仿宋" w:eastAsia="仿宋" w:cs="仿宋"/>
          <w:b/>
          <w:bCs/>
          <w:kern w:val="0"/>
          <w:sz w:val="24"/>
          <w:szCs w:val="24"/>
        </w:rPr>
        <w:t>2．合同范围和条件</w:t>
      </w:r>
      <w:bookmarkEnd w:id="122"/>
      <w:bookmarkEnd w:id="123"/>
      <w:bookmarkEnd w:id="124"/>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本合同的范围和条件应与上述合同文件的规定相一致。</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25" w:name="_Toc6580"/>
      <w:bookmarkStart w:id="126" w:name="_Toc19640"/>
      <w:bookmarkStart w:id="127" w:name="_Toc11504"/>
      <w:r>
        <w:rPr>
          <w:rFonts w:hint="eastAsia" w:ascii="仿宋" w:hAnsi="仿宋" w:eastAsia="仿宋" w:cs="仿宋"/>
          <w:b/>
          <w:bCs/>
          <w:kern w:val="0"/>
          <w:sz w:val="24"/>
          <w:szCs w:val="24"/>
        </w:rPr>
        <w:t>3．合同内容</w:t>
      </w:r>
      <w:bookmarkEnd w:id="125"/>
      <w:bookmarkEnd w:id="126"/>
      <w:bookmarkEnd w:id="127"/>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本合同所涉及的内容详见采购文件和合同条款。专用条款将由采购人与成交人结合本项目具体情况协商后签订。</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28" w:name="_Toc14487"/>
      <w:bookmarkStart w:id="129" w:name="_Toc31935"/>
      <w:bookmarkStart w:id="130" w:name="_Toc1911"/>
      <w:r>
        <w:rPr>
          <w:rFonts w:hint="eastAsia" w:ascii="仿宋" w:hAnsi="仿宋" w:eastAsia="仿宋" w:cs="仿宋"/>
          <w:b/>
          <w:bCs/>
          <w:kern w:val="0"/>
          <w:sz w:val="24"/>
          <w:szCs w:val="24"/>
        </w:rPr>
        <w:t>4．合同金额</w:t>
      </w:r>
      <w:bookmarkEnd w:id="128"/>
      <w:bookmarkEnd w:id="129"/>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根据上述合同文件要求，合同总金额（人民币大写）    元，分项报价在报价明细表中有明确规定。合同执行过程中，如涉及合同总金额调整，需经采购人和承包商共同协商一致，签订书面的补充协议确定。</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31" w:name="_Toc32151"/>
      <w:bookmarkStart w:id="132" w:name="_Toc30203"/>
      <w:r>
        <w:rPr>
          <w:rFonts w:hint="eastAsia" w:ascii="仿宋" w:hAnsi="仿宋" w:eastAsia="仿宋" w:cs="仿宋"/>
          <w:b/>
          <w:bCs/>
          <w:kern w:val="0"/>
          <w:sz w:val="24"/>
          <w:szCs w:val="24"/>
        </w:rPr>
        <w:t>5.付款</w:t>
      </w:r>
      <w:bookmarkEnd w:id="130"/>
      <w:bookmarkEnd w:id="131"/>
      <w:bookmarkEnd w:id="132"/>
      <w:r>
        <w:rPr>
          <w:rFonts w:hint="eastAsia" w:ascii="仿宋" w:hAnsi="仿宋" w:eastAsia="仿宋" w:cs="仿宋"/>
          <w:b/>
          <w:bCs/>
          <w:kern w:val="0"/>
          <w:sz w:val="24"/>
          <w:szCs w:val="24"/>
        </w:rPr>
        <w:t>方式：</w:t>
      </w:r>
    </w:p>
    <w:p>
      <w:pPr>
        <w:spacing w:line="360" w:lineRule="auto"/>
        <w:ind w:firstLine="480"/>
        <w:rPr>
          <w:rFonts w:ascii="仿宋" w:hAnsi="仿宋" w:eastAsia="仿宋" w:cs="仿宋"/>
          <w:bCs/>
          <w:sz w:val="24"/>
          <w:szCs w:val="24"/>
        </w:rPr>
      </w:pPr>
      <w:bookmarkStart w:id="133" w:name="_Toc11787"/>
      <w:bookmarkStart w:id="134" w:name="_Toc11995"/>
      <w:bookmarkStart w:id="135" w:name="_Toc25767"/>
      <w:r>
        <w:rPr>
          <w:rFonts w:hint="eastAsia" w:ascii="仿宋" w:hAnsi="仿宋" w:eastAsia="仿宋" w:cs="仿宋"/>
          <w:bCs/>
          <w:sz w:val="24"/>
          <w:szCs w:val="24"/>
        </w:rPr>
        <w:t>合同签订后首付50%合同款，验收合格1年后支付剩余50%合同款（因费用为全省分摊，付款可能有延迟）。</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r>
        <w:rPr>
          <w:rFonts w:hint="eastAsia" w:ascii="仿宋" w:hAnsi="仿宋" w:eastAsia="仿宋" w:cs="仿宋"/>
          <w:b/>
          <w:bCs/>
          <w:kern w:val="0"/>
          <w:sz w:val="24"/>
          <w:szCs w:val="24"/>
        </w:rPr>
        <w:t>6.质保期</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五年7*24原厂质保且硬盘不返还服务。</w:t>
      </w:r>
    </w:p>
    <w:bookmarkEnd w:id="133"/>
    <w:bookmarkEnd w:id="134"/>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36" w:name="_Toc4307"/>
      <w:bookmarkStart w:id="137" w:name="_Toc22330"/>
      <w:r>
        <w:rPr>
          <w:rFonts w:hint="eastAsia" w:ascii="仿宋" w:hAnsi="仿宋" w:eastAsia="仿宋" w:cs="仿宋"/>
          <w:b/>
          <w:bCs/>
          <w:kern w:val="0"/>
          <w:sz w:val="24"/>
          <w:szCs w:val="24"/>
        </w:rPr>
        <w:t>7．合同纠纷处理</w:t>
      </w:r>
      <w:bookmarkEnd w:id="135"/>
      <w:bookmarkEnd w:id="136"/>
      <w:bookmarkEnd w:id="137"/>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本合同履行过程中发生的合同纠纷，由甲乙双方联系处理。</w:t>
      </w:r>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38" w:name="_Toc19903"/>
      <w:bookmarkStart w:id="139" w:name="_Toc6887"/>
      <w:bookmarkStart w:id="140" w:name="_Toc27473"/>
      <w:r>
        <w:rPr>
          <w:rFonts w:hint="eastAsia" w:ascii="仿宋" w:hAnsi="仿宋" w:eastAsia="仿宋" w:cs="仿宋"/>
          <w:b/>
          <w:bCs/>
          <w:kern w:val="0"/>
          <w:sz w:val="24"/>
          <w:szCs w:val="24"/>
        </w:rPr>
        <w:t>8．合同生效</w:t>
      </w:r>
      <w:bookmarkEnd w:id="138"/>
      <w:bookmarkEnd w:id="139"/>
      <w:bookmarkEnd w:id="140"/>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本合同经甲方、乙方和见证方三方授权代表签字盖章，并在见证方收到乙方提交的质量保证金后生效。</w:t>
      </w:r>
      <w:bookmarkStart w:id="141" w:name="_Toc24634"/>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42" w:name="_Toc32515"/>
      <w:bookmarkStart w:id="143" w:name="_Toc4082"/>
      <w:r>
        <w:rPr>
          <w:rFonts w:hint="eastAsia" w:ascii="仿宋" w:hAnsi="仿宋" w:eastAsia="仿宋" w:cs="仿宋"/>
          <w:b/>
          <w:bCs/>
          <w:kern w:val="0"/>
          <w:sz w:val="24"/>
          <w:szCs w:val="24"/>
        </w:rPr>
        <w:t>9.</w:t>
      </w:r>
      <w:bookmarkStart w:id="144" w:name="_Toc2015"/>
      <w:r>
        <w:rPr>
          <w:rFonts w:hint="eastAsia" w:ascii="仿宋" w:hAnsi="仿宋" w:eastAsia="仿宋" w:cs="仿宋"/>
          <w:b/>
          <w:bCs/>
          <w:kern w:val="0"/>
          <w:sz w:val="24"/>
          <w:szCs w:val="24"/>
        </w:rPr>
        <w:t>诉讼</w:t>
      </w:r>
      <w:bookmarkEnd w:id="141"/>
      <w:bookmarkEnd w:id="142"/>
      <w:bookmarkEnd w:id="143"/>
      <w:bookmarkEnd w:id="144"/>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双方在执行合同中所发生的一切争议，应通过协商解决。如协商不成，可向合同签订地法院起诉，合同签订地在此约定为南京市。</w:t>
      </w:r>
      <w:bookmarkStart w:id="145" w:name="_Toc21029"/>
    </w:p>
    <w:p>
      <w:pPr>
        <w:widowControl/>
        <w:kinsoku w:val="0"/>
        <w:autoSpaceDE w:val="0"/>
        <w:autoSpaceDN w:val="0"/>
        <w:adjustRightInd w:val="0"/>
        <w:snapToGrid w:val="0"/>
        <w:spacing w:line="360" w:lineRule="auto"/>
        <w:ind w:firstLine="482" w:firstLineChars="200"/>
        <w:textAlignment w:val="baseline"/>
        <w:rPr>
          <w:rFonts w:ascii="仿宋" w:hAnsi="仿宋" w:eastAsia="仿宋" w:cs="仿宋"/>
          <w:b/>
          <w:bCs/>
          <w:kern w:val="0"/>
          <w:sz w:val="24"/>
          <w:szCs w:val="24"/>
        </w:rPr>
      </w:pPr>
      <w:bookmarkStart w:id="146" w:name="_Toc19794"/>
      <w:bookmarkStart w:id="147" w:name="_Toc3771"/>
      <w:bookmarkStart w:id="148" w:name="_Toc5981"/>
      <w:r>
        <w:rPr>
          <w:rFonts w:hint="eastAsia" w:ascii="仿宋" w:hAnsi="仿宋" w:eastAsia="仿宋" w:cs="仿宋"/>
          <w:b/>
          <w:bCs/>
          <w:kern w:val="0"/>
          <w:sz w:val="24"/>
          <w:szCs w:val="24"/>
        </w:rPr>
        <w:t>10. 其它</w:t>
      </w:r>
      <w:bookmarkEnd w:id="145"/>
      <w:bookmarkEnd w:id="146"/>
      <w:bookmarkEnd w:id="147"/>
      <w:bookmarkEnd w:id="148"/>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10.1本合同未尽事宜，双方协商解决。</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10.2 本合同正本一式陆份，具有同等法律效力，甲方执肆份，乙方执贰份。</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 xml:space="preserve">甲方：江苏省高级人民法院             乙方： </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 xml:space="preserve">地址：南京市宁海路75号               地址： </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法定代表人或授权代表：               法定代表人或授权代表：</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仿宋"/>
          <w:kern w:val="0"/>
          <w:sz w:val="24"/>
          <w:szCs w:val="24"/>
        </w:rPr>
      </w:pPr>
      <w:r>
        <w:rPr>
          <w:rFonts w:hint="eastAsia" w:ascii="仿宋" w:hAnsi="仿宋" w:eastAsia="仿宋" w:cs="仿宋"/>
          <w:kern w:val="0"/>
          <w:sz w:val="24"/>
          <w:szCs w:val="24"/>
        </w:rPr>
        <w:t>联系电话：                           联系电话：</w:t>
      </w:r>
    </w:p>
    <w:p>
      <w:pPr>
        <w:widowControl/>
        <w:kinsoku w:val="0"/>
        <w:autoSpaceDE w:val="0"/>
        <w:autoSpaceDN w:val="0"/>
        <w:adjustRightInd w:val="0"/>
        <w:snapToGrid w:val="0"/>
        <w:spacing w:line="360" w:lineRule="auto"/>
        <w:ind w:firstLine="480" w:firstLineChars="200"/>
        <w:textAlignment w:val="baseline"/>
        <w:rPr>
          <w:rFonts w:ascii="仿宋" w:hAnsi="仿宋" w:eastAsia="仿宋" w:cs="Times New Roman"/>
          <w:kern w:val="0"/>
          <w:sz w:val="24"/>
          <w:szCs w:val="24"/>
        </w:rPr>
      </w:pPr>
      <w:r>
        <w:rPr>
          <w:rFonts w:hint="eastAsia" w:ascii="仿宋" w:hAnsi="仿宋" w:eastAsia="仿宋" w:cs="仿宋"/>
          <w:kern w:val="0"/>
          <w:sz w:val="24"/>
          <w:szCs w:val="24"/>
        </w:rPr>
        <w:t>签订日期：    年  月  日             签订日期：    年  月  日</w:t>
      </w:r>
    </w:p>
    <w:p>
      <w:pPr>
        <w:tabs>
          <w:tab w:val="left" w:pos="900"/>
        </w:tabs>
        <w:spacing w:afterLines="50" w:line="400" w:lineRule="exact"/>
        <w:rPr>
          <w:rFonts w:ascii="仿宋" w:hAnsi="仿宋" w:eastAsia="仿宋" w:cs="仿宋"/>
          <w:sz w:val="24"/>
        </w:rPr>
      </w:pPr>
      <w:r>
        <w:rPr>
          <w:rFonts w:hint="eastAsia" w:ascii="仿宋" w:hAnsi="仿宋" w:eastAsia="仿宋" w:cs="仿宋"/>
          <w:sz w:val="24"/>
        </w:rPr>
        <w:t xml:space="preserve">       </w:t>
      </w:r>
    </w:p>
    <w:p>
      <w:pPr>
        <w:tabs>
          <w:tab w:val="left" w:pos="900"/>
        </w:tabs>
        <w:spacing w:afterLines="50" w:line="400" w:lineRule="exact"/>
        <w:ind w:firstLine="477" w:firstLineChars="199"/>
        <w:rPr>
          <w:rFonts w:ascii="仿宋" w:hAnsi="仿宋" w:eastAsia="仿宋" w:cs="仿宋"/>
          <w:sz w:val="24"/>
          <w:szCs w:val="24"/>
        </w:rPr>
      </w:pPr>
      <w:r>
        <w:rPr>
          <w:rFonts w:hint="eastAsia" w:ascii="仿宋" w:hAnsi="仿宋" w:eastAsia="仿宋" w:cs="仿宋"/>
          <w:sz w:val="24"/>
        </w:rPr>
        <w:t>采购人声明：本合同标的经采购代理机构依法定程序采购，合同主要条款内容与采购文件的内容一致</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代理机构：南京达琛鑫工程咨询有限公司 </w:t>
      </w:r>
    </w:p>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地  址：</w:t>
      </w:r>
      <w:r>
        <w:rPr>
          <w:rFonts w:hint="eastAsia" w:ascii="仿宋" w:hAnsi="仿宋" w:eastAsia="仿宋" w:cs="仿宋"/>
          <w:sz w:val="24"/>
          <w:szCs w:val="24"/>
          <w:lang w:eastAsia="zh-CN"/>
        </w:rPr>
        <w:t>南京市秦淮区光华东街6号世界之窗创意产业园15幢4楼</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经办人：徐工</w:t>
      </w:r>
    </w:p>
    <w:p>
      <w:pPr>
        <w:spacing w:line="360" w:lineRule="auto"/>
        <w:ind w:firstLine="480" w:firstLineChars="200"/>
        <w:rPr>
          <w:rFonts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sz w:val="24"/>
          <w:szCs w:val="24"/>
        </w:rPr>
        <w:t>签订日期： 2023年  月  日</w:t>
      </w:r>
    </w:p>
    <w:bookmarkEnd w:id="44"/>
    <w:bookmarkEnd w:id="45"/>
    <w:p>
      <w:pPr>
        <w:pStyle w:val="21"/>
        <w:pageBreakBefore/>
        <w:spacing w:after="312" w:line="360" w:lineRule="auto"/>
        <w:textAlignment w:val="baseline"/>
        <w:rPr>
          <w:rFonts w:ascii="仿宋" w:hAnsi="仿宋" w:eastAsia="仿宋" w:cs="仿宋"/>
          <w:color w:val="000000"/>
          <w:sz w:val="40"/>
        </w:rPr>
      </w:pPr>
      <w:bookmarkStart w:id="149" w:name="_Toc25250"/>
      <w:bookmarkStart w:id="150" w:name="_Toc17283"/>
      <w:bookmarkStart w:id="151" w:name="_Toc17895"/>
      <w:bookmarkStart w:id="152" w:name="_Toc18960"/>
      <w:bookmarkStart w:id="153" w:name="_Toc324237156"/>
      <w:r>
        <w:rPr>
          <w:rFonts w:hint="eastAsia" w:ascii="仿宋" w:hAnsi="仿宋" w:eastAsia="仿宋" w:cs="仿宋"/>
          <w:color w:val="000000"/>
          <w:sz w:val="40"/>
        </w:rPr>
        <w:t>第四章  项目需求</w:t>
      </w:r>
      <w:bookmarkEnd w:id="149"/>
      <w:bookmarkEnd w:id="150"/>
      <w:bookmarkEnd w:id="151"/>
    </w:p>
    <w:p>
      <w:pPr>
        <w:pStyle w:val="22"/>
        <w:numPr>
          <w:ilvl w:val="255"/>
          <w:numId w:val="0"/>
        </w:numPr>
        <w:spacing w:line="360" w:lineRule="auto"/>
        <w:rPr>
          <w:rFonts w:ascii="仿宋" w:hAnsi="仿宋" w:eastAsia="仿宋" w:cs="仿宋"/>
        </w:rPr>
      </w:pPr>
      <w:bookmarkStart w:id="154" w:name="_Toc15245"/>
      <w:bookmarkStart w:id="155" w:name="_Toc5010"/>
      <w:bookmarkStart w:id="156" w:name="_Toc9276"/>
      <w:bookmarkStart w:id="157" w:name="_Toc26678"/>
      <w:bookmarkStart w:id="158" w:name="_Toc8196"/>
      <w:bookmarkStart w:id="159" w:name="_Toc25170483"/>
      <w:r>
        <w:rPr>
          <w:rFonts w:hint="eastAsia" w:ascii="仿宋" w:hAnsi="仿宋" w:eastAsia="仿宋" w:cs="仿宋"/>
          <w:lang w:val="zh-CN"/>
        </w:rPr>
        <w:t>一、</w:t>
      </w:r>
      <w:r>
        <w:rPr>
          <w:rFonts w:hint="eastAsia" w:ascii="仿宋" w:hAnsi="仿宋" w:eastAsia="仿宋" w:cs="仿宋"/>
        </w:rPr>
        <w:t>项目概述</w:t>
      </w:r>
    </w:p>
    <w:p>
      <w:pPr>
        <w:pStyle w:val="14"/>
        <w:spacing w:line="360" w:lineRule="auto"/>
        <w:ind w:firstLine="480"/>
        <w:rPr>
          <w:rFonts w:ascii="仿宋" w:hAnsi="仿宋" w:eastAsia="仿宋" w:cs="仿宋"/>
          <w:bCs/>
          <w:sz w:val="24"/>
          <w:szCs w:val="24"/>
        </w:rPr>
      </w:pPr>
      <w:r>
        <w:rPr>
          <w:rFonts w:hint="eastAsia" w:ascii="仿宋" w:hAnsi="仿宋" w:eastAsia="仿宋" w:cs="仿宋"/>
          <w:color w:val="000000"/>
          <w:sz w:val="24"/>
          <w:szCs w:val="24"/>
        </w:rPr>
        <w:t>江苏省高级人民法院主要业务系统目前使用的存储设备为EMC VNX5600、宏杉科技 MS3300，上述设备为2014年间采购，且设备已过维保，维护成本高，因此拟采购2台新的</w:t>
      </w:r>
      <w:r>
        <w:rPr>
          <w:rFonts w:hint="eastAsia" w:ascii="仿宋" w:hAnsi="仿宋" w:eastAsia="仿宋" w:cs="仿宋"/>
          <w:color w:val="000000" w:themeColor="text1"/>
          <w:sz w:val="24"/>
          <w:szCs w:val="24"/>
          <w14:textFill>
            <w14:solidFill>
              <w14:schemeClr w14:val="tx1"/>
            </w14:solidFill>
          </w14:textFill>
        </w:rPr>
        <w:t>存储系统予以替换，并配合进行数据迁移</w:t>
      </w:r>
      <w:r>
        <w:rPr>
          <w:rFonts w:hint="eastAsia" w:ascii="仿宋" w:hAnsi="仿宋" w:eastAsia="仿宋" w:cs="仿宋"/>
          <w:color w:val="000000"/>
          <w:sz w:val="24"/>
          <w:szCs w:val="24"/>
        </w:rPr>
        <w:t>。</w:t>
      </w:r>
    </w:p>
    <w:p>
      <w:pPr>
        <w:pStyle w:val="14"/>
        <w:spacing w:line="360" w:lineRule="auto"/>
        <w:ind w:firstLine="480"/>
        <w:rPr>
          <w:rFonts w:ascii="仿宋" w:hAnsi="仿宋" w:eastAsia="仿宋" w:cs="仿宋"/>
          <w:bCs/>
          <w:sz w:val="24"/>
          <w:szCs w:val="24"/>
        </w:rPr>
      </w:pPr>
      <w:r>
        <w:rPr>
          <w:rFonts w:ascii="仿宋" w:hAnsi="仿宋" w:eastAsia="仿宋" w:cs="仿宋"/>
          <w:bCs/>
          <w:sz w:val="24"/>
          <w:szCs w:val="24"/>
        </w:rPr>
        <w:t>目前EMC VNX5600总使用容量约</w:t>
      </w:r>
      <w:r>
        <w:rPr>
          <w:rFonts w:hint="eastAsia" w:ascii="仿宋" w:hAnsi="仿宋" w:eastAsia="仿宋" w:cs="仿宋"/>
          <w:bCs/>
          <w:sz w:val="24"/>
          <w:szCs w:val="24"/>
        </w:rPr>
        <w:t>215</w:t>
      </w:r>
      <w:r>
        <w:rPr>
          <w:rFonts w:ascii="仿宋" w:hAnsi="仿宋" w:eastAsia="仿宋" w:cs="仿宋"/>
          <w:bCs/>
          <w:sz w:val="24"/>
          <w:szCs w:val="24"/>
        </w:rPr>
        <w:t>TB，</w:t>
      </w:r>
      <w:r>
        <w:rPr>
          <w:rFonts w:hint="eastAsia" w:ascii="仿宋" w:hAnsi="仿宋" w:eastAsia="仿宋" w:cs="仿宋"/>
          <w:bCs/>
          <w:sz w:val="24"/>
          <w:szCs w:val="24"/>
        </w:rPr>
        <w:t>宏杉科技 MS3300可用空间约12TB，</w:t>
      </w:r>
      <w:r>
        <w:rPr>
          <w:rFonts w:ascii="仿宋" w:hAnsi="仿宋" w:eastAsia="仿宋" w:cs="仿宋"/>
          <w:bCs/>
          <w:sz w:val="24"/>
          <w:szCs w:val="24"/>
        </w:rPr>
        <w:t>业务以数据库为主，同时包含少量文件存储服务。基于客户应用现状，本次</w:t>
      </w:r>
      <w:r>
        <w:rPr>
          <w:rFonts w:hint="eastAsia" w:ascii="仿宋" w:hAnsi="仿宋" w:eastAsia="仿宋" w:cs="仿宋"/>
          <w:bCs/>
          <w:sz w:val="24"/>
          <w:szCs w:val="24"/>
        </w:rPr>
        <w:t>需采购两台</w:t>
      </w:r>
      <w:r>
        <w:rPr>
          <w:rFonts w:ascii="仿宋" w:hAnsi="仿宋" w:eastAsia="仿宋" w:cs="仿宋"/>
          <w:bCs/>
          <w:sz w:val="24"/>
          <w:szCs w:val="24"/>
        </w:rPr>
        <w:t>集中式存储用以替</w:t>
      </w:r>
      <w:r>
        <w:rPr>
          <w:rFonts w:hint="eastAsia" w:ascii="仿宋" w:hAnsi="仿宋" w:eastAsia="仿宋" w:cs="仿宋"/>
          <w:bCs/>
          <w:sz w:val="24"/>
          <w:szCs w:val="24"/>
        </w:rPr>
        <w:t>换</w:t>
      </w:r>
      <w:r>
        <w:rPr>
          <w:rFonts w:ascii="仿宋" w:hAnsi="仿宋" w:eastAsia="仿宋" w:cs="仿宋"/>
          <w:bCs/>
          <w:sz w:val="24"/>
          <w:szCs w:val="24"/>
        </w:rPr>
        <w:t>，承担现有的业务</w:t>
      </w:r>
      <w:r>
        <w:rPr>
          <w:rFonts w:hint="eastAsia" w:ascii="仿宋" w:hAnsi="仿宋" w:eastAsia="仿宋" w:cs="仿宋"/>
          <w:bCs/>
          <w:sz w:val="24"/>
          <w:szCs w:val="24"/>
        </w:rPr>
        <w:t>，并配合相关数据迁移工作</w:t>
      </w:r>
      <w:r>
        <w:rPr>
          <w:rFonts w:ascii="仿宋" w:hAnsi="仿宋" w:eastAsia="仿宋" w:cs="仿宋"/>
          <w:bCs/>
          <w:sz w:val="24"/>
          <w:szCs w:val="24"/>
        </w:rPr>
        <w:t>。</w:t>
      </w:r>
    </w:p>
    <w:p>
      <w:pPr>
        <w:pStyle w:val="22"/>
        <w:numPr>
          <w:ilvl w:val="255"/>
          <w:numId w:val="0"/>
        </w:numPr>
        <w:spacing w:line="360" w:lineRule="auto"/>
        <w:rPr>
          <w:rFonts w:ascii="仿宋" w:hAnsi="仿宋" w:eastAsia="仿宋" w:cs="仿宋"/>
        </w:rPr>
      </w:pPr>
      <w:r>
        <w:rPr>
          <w:rFonts w:hint="eastAsia" w:ascii="仿宋" w:hAnsi="仿宋" w:eastAsia="仿宋" w:cs="仿宋"/>
        </w:rPr>
        <w:t>二、采购设备清单</w:t>
      </w:r>
    </w:p>
    <w:tbl>
      <w:tblPr>
        <w:tblStyle w:val="15"/>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225"/>
        <w:gridCol w:w="7326"/>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39" w:type="dxa"/>
            <w:shd w:val="clear" w:color="000000" w:fill="F2F2F2"/>
            <w:noWrap/>
            <w:vAlign w:val="center"/>
          </w:tcPr>
          <w:p>
            <w:pPr>
              <w:widowControl/>
              <w:spacing w:line="360" w:lineRule="auto"/>
              <w:jc w:val="center"/>
              <w:rPr>
                <w:rFonts w:ascii="仿宋" w:hAnsi="仿宋" w:eastAsia="仿宋" w:cs="仿宋"/>
                <w:b/>
                <w:bCs/>
                <w:kern w:val="0"/>
              </w:rPr>
            </w:pPr>
            <w:r>
              <w:rPr>
                <w:rFonts w:hint="eastAsia" w:ascii="仿宋" w:hAnsi="仿宋" w:eastAsia="仿宋" w:cs="仿宋"/>
                <w:b/>
                <w:bCs/>
                <w:kern w:val="0"/>
              </w:rPr>
              <w:t>序号</w:t>
            </w:r>
          </w:p>
        </w:tc>
        <w:tc>
          <w:tcPr>
            <w:tcW w:w="1225" w:type="dxa"/>
            <w:shd w:val="clear" w:color="000000" w:fill="F2F2F2"/>
            <w:noWrap/>
            <w:vAlign w:val="center"/>
          </w:tcPr>
          <w:p>
            <w:pPr>
              <w:widowControl/>
              <w:spacing w:line="360" w:lineRule="auto"/>
              <w:jc w:val="center"/>
              <w:rPr>
                <w:rFonts w:ascii="仿宋" w:hAnsi="仿宋" w:eastAsia="仿宋" w:cs="仿宋"/>
                <w:b/>
                <w:bCs/>
                <w:kern w:val="0"/>
              </w:rPr>
            </w:pPr>
            <w:r>
              <w:rPr>
                <w:rFonts w:hint="eastAsia" w:ascii="仿宋" w:hAnsi="仿宋" w:eastAsia="仿宋" w:cs="仿宋"/>
                <w:b/>
                <w:bCs/>
                <w:kern w:val="0"/>
              </w:rPr>
              <w:t>需求名称</w:t>
            </w:r>
          </w:p>
        </w:tc>
        <w:tc>
          <w:tcPr>
            <w:tcW w:w="7326" w:type="dxa"/>
            <w:shd w:val="clear" w:color="000000" w:fill="F2F2F2"/>
            <w:vAlign w:val="center"/>
          </w:tcPr>
          <w:p>
            <w:pPr>
              <w:widowControl/>
              <w:spacing w:line="360" w:lineRule="auto"/>
              <w:jc w:val="center"/>
              <w:rPr>
                <w:rFonts w:ascii="仿宋" w:hAnsi="仿宋" w:eastAsia="仿宋" w:cs="仿宋"/>
                <w:b/>
                <w:bCs/>
                <w:kern w:val="0"/>
              </w:rPr>
            </w:pPr>
            <w:r>
              <w:rPr>
                <w:rFonts w:hint="eastAsia" w:ascii="仿宋" w:hAnsi="仿宋" w:eastAsia="仿宋" w:cs="仿宋"/>
                <w:b/>
                <w:bCs/>
                <w:kern w:val="0"/>
              </w:rPr>
              <w:t>描述</w:t>
            </w:r>
          </w:p>
        </w:tc>
        <w:tc>
          <w:tcPr>
            <w:tcW w:w="660" w:type="dxa"/>
            <w:shd w:val="clear" w:color="000000" w:fill="F2F2F2"/>
            <w:noWrap/>
            <w:vAlign w:val="center"/>
          </w:tcPr>
          <w:p>
            <w:pPr>
              <w:widowControl/>
              <w:spacing w:line="360" w:lineRule="auto"/>
              <w:jc w:val="center"/>
              <w:rPr>
                <w:rFonts w:ascii="仿宋" w:hAnsi="仿宋" w:eastAsia="仿宋" w:cs="仿宋"/>
                <w:b/>
                <w:bCs/>
                <w:kern w:val="0"/>
              </w:rPr>
            </w:pPr>
            <w:r>
              <w:rPr>
                <w:rFonts w:hint="eastAsia" w:ascii="仿宋" w:hAnsi="仿宋" w:eastAsia="仿宋" w:cs="仿宋"/>
                <w:b/>
                <w:bCs/>
                <w:kern w:val="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539" w:type="dxa"/>
            <w:shd w:val="clear" w:color="auto" w:fill="auto"/>
            <w:vAlign w:val="center"/>
          </w:tcPr>
          <w:p>
            <w:pPr>
              <w:widowControl/>
              <w:spacing w:line="360" w:lineRule="auto"/>
              <w:jc w:val="center"/>
              <w:rPr>
                <w:rFonts w:ascii="仿宋" w:hAnsi="仿宋" w:eastAsia="仿宋" w:cs="仿宋"/>
                <w:bCs/>
                <w:sz w:val="24"/>
                <w:szCs w:val="24"/>
              </w:rPr>
            </w:pPr>
            <w:r>
              <w:rPr>
                <w:rFonts w:hint="eastAsia" w:ascii="仿宋" w:hAnsi="仿宋" w:eastAsia="仿宋" w:cs="仿宋"/>
                <w:bCs/>
                <w:sz w:val="24"/>
                <w:szCs w:val="24"/>
              </w:rPr>
              <w:t>1</w:t>
            </w:r>
          </w:p>
        </w:tc>
        <w:tc>
          <w:tcPr>
            <w:tcW w:w="1225" w:type="dxa"/>
            <w:shd w:val="clear" w:color="auto" w:fill="auto"/>
            <w:vAlign w:val="center"/>
          </w:tcPr>
          <w:p>
            <w:pPr>
              <w:widowControl/>
              <w:spacing w:line="360" w:lineRule="auto"/>
              <w:jc w:val="center"/>
              <w:rPr>
                <w:rFonts w:ascii="仿宋" w:hAnsi="仿宋" w:eastAsia="仿宋" w:cs="仿宋"/>
                <w:bCs/>
                <w:sz w:val="24"/>
                <w:szCs w:val="24"/>
              </w:rPr>
            </w:pPr>
            <w:r>
              <w:rPr>
                <w:rFonts w:ascii="仿宋" w:hAnsi="仿宋" w:eastAsia="仿宋" w:cs="仿宋"/>
                <w:bCs/>
                <w:sz w:val="24"/>
                <w:szCs w:val="24"/>
              </w:rPr>
              <w:t>存储设备</w:t>
            </w:r>
            <w:r>
              <w:rPr>
                <w:rFonts w:hint="eastAsia" w:ascii="仿宋" w:hAnsi="仿宋" w:eastAsia="仿宋" w:cs="仿宋"/>
                <w:bCs/>
                <w:sz w:val="24"/>
                <w:szCs w:val="24"/>
              </w:rPr>
              <w:t>1</w:t>
            </w:r>
          </w:p>
        </w:tc>
        <w:tc>
          <w:tcPr>
            <w:tcW w:w="7326" w:type="dxa"/>
            <w:shd w:val="clear" w:color="auto" w:fill="auto"/>
            <w:vAlign w:val="center"/>
          </w:tcPr>
          <w:p>
            <w:pPr>
              <w:widowControl/>
              <w:spacing w:line="360" w:lineRule="auto"/>
              <w:rPr>
                <w:rFonts w:ascii="仿宋" w:hAnsi="仿宋" w:eastAsia="仿宋" w:cs="仿宋"/>
                <w:bCs/>
                <w:sz w:val="24"/>
                <w:szCs w:val="24"/>
              </w:rPr>
            </w:pPr>
            <w:r>
              <w:rPr>
                <w:rFonts w:hint="eastAsia" w:ascii="仿宋" w:hAnsi="仿宋" w:eastAsia="仿宋" w:cs="仿宋"/>
                <w:bCs/>
                <w:sz w:val="24"/>
                <w:szCs w:val="24"/>
              </w:rPr>
              <w:t>双存储控制器，</w:t>
            </w:r>
            <w:r>
              <w:rPr>
                <w:rFonts w:ascii="仿宋" w:hAnsi="仿宋" w:eastAsia="仿宋" w:cs="仿宋"/>
                <w:szCs w:val="24"/>
              </w:rPr>
              <w:t>≥</w:t>
            </w:r>
            <w:r>
              <w:rPr>
                <w:rFonts w:hint="eastAsia" w:ascii="仿宋" w:hAnsi="仿宋" w:eastAsia="仿宋" w:cs="仿宋"/>
                <w:bCs/>
                <w:sz w:val="24"/>
                <w:szCs w:val="24"/>
              </w:rPr>
              <w:t>1</w:t>
            </w:r>
            <w:r>
              <w:rPr>
                <w:rFonts w:ascii="仿宋" w:hAnsi="仿宋" w:eastAsia="仿宋" w:cs="仿宋"/>
                <w:bCs/>
                <w:sz w:val="24"/>
                <w:szCs w:val="24"/>
              </w:rPr>
              <w:t>28GB高速</w:t>
            </w:r>
            <w:r>
              <w:rPr>
                <w:rFonts w:hint="eastAsia" w:ascii="仿宋" w:hAnsi="仿宋" w:eastAsia="仿宋" w:cs="仿宋"/>
                <w:bCs/>
                <w:sz w:val="24"/>
                <w:szCs w:val="24"/>
              </w:rPr>
              <w:t>缓存，</w:t>
            </w:r>
            <w:r>
              <w:rPr>
                <w:rFonts w:ascii="仿宋" w:hAnsi="仿宋" w:eastAsia="仿宋" w:cs="仿宋"/>
                <w:szCs w:val="24"/>
              </w:rPr>
              <w:t>≥</w:t>
            </w:r>
            <w:r>
              <w:rPr>
                <w:rFonts w:hint="eastAsia" w:ascii="仿宋" w:hAnsi="仿宋" w:eastAsia="仿宋" w:cs="仿宋"/>
                <w:bCs/>
                <w:sz w:val="24"/>
                <w:szCs w:val="24"/>
              </w:rPr>
              <w:t>1</w:t>
            </w:r>
            <w:r>
              <w:rPr>
                <w:rFonts w:ascii="仿宋" w:hAnsi="仿宋" w:eastAsia="仿宋" w:cs="仿宋"/>
                <w:bCs/>
                <w:sz w:val="24"/>
                <w:szCs w:val="24"/>
              </w:rPr>
              <w:t>6GB NVDIMM，</w:t>
            </w:r>
            <w:r>
              <w:rPr>
                <w:rFonts w:hint="eastAsia" w:ascii="仿宋" w:hAnsi="仿宋" w:eastAsia="仿宋" w:cs="仿宋"/>
                <w:bCs/>
                <w:sz w:val="24"/>
                <w:szCs w:val="24"/>
              </w:rPr>
              <w:t>至少8个16Gb FC主机接口。主机控制柜：至少配置</w:t>
            </w:r>
            <w:r>
              <w:rPr>
                <w:rFonts w:ascii="仿宋" w:hAnsi="仿宋" w:eastAsia="仿宋" w:cs="仿宋"/>
                <w:bCs/>
                <w:sz w:val="24"/>
                <w:szCs w:val="24"/>
              </w:rPr>
              <w:t>23</w:t>
            </w:r>
            <w:r>
              <w:rPr>
                <w:rFonts w:hint="eastAsia" w:ascii="仿宋" w:hAnsi="仿宋" w:eastAsia="仿宋" w:cs="仿宋"/>
                <w:bCs/>
                <w:sz w:val="24"/>
                <w:szCs w:val="24"/>
              </w:rPr>
              <w:t>TB SSD+</w:t>
            </w:r>
            <w:r>
              <w:rPr>
                <w:rFonts w:ascii="仿宋" w:hAnsi="仿宋" w:eastAsia="仿宋" w:cs="仿宋"/>
                <w:bCs/>
                <w:sz w:val="24"/>
                <w:szCs w:val="24"/>
              </w:rPr>
              <w:t>210</w:t>
            </w:r>
            <w:r>
              <w:rPr>
                <w:rFonts w:hint="eastAsia" w:ascii="仿宋" w:hAnsi="仿宋" w:eastAsia="仿宋" w:cs="仿宋"/>
                <w:bCs/>
                <w:sz w:val="24"/>
                <w:szCs w:val="24"/>
              </w:rPr>
              <w:t>TB HDD(可用容量</w:t>
            </w:r>
            <w:r>
              <w:rPr>
                <w:rFonts w:ascii="仿宋" w:hAnsi="仿宋" w:eastAsia="仿宋" w:cs="仿宋"/>
                <w:bCs/>
                <w:sz w:val="24"/>
                <w:szCs w:val="24"/>
              </w:rPr>
              <w:t>153</w:t>
            </w:r>
            <w:r>
              <w:rPr>
                <w:rFonts w:hint="eastAsia" w:ascii="仿宋" w:hAnsi="仿宋" w:eastAsia="仿宋" w:cs="仿宋"/>
                <w:bCs/>
                <w:sz w:val="24"/>
                <w:szCs w:val="24"/>
              </w:rPr>
              <w:t>TB)；1个存储扩展柜：至少配置</w:t>
            </w:r>
            <w:r>
              <w:rPr>
                <w:rFonts w:ascii="仿宋" w:hAnsi="仿宋" w:eastAsia="仿宋" w:cs="仿宋"/>
                <w:bCs/>
                <w:sz w:val="24"/>
                <w:szCs w:val="24"/>
              </w:rPr>
              <w:t>11</w:t>
            </w:r>
            <w:r>
              <w:rPr>
                <w:rFonts w:hint="eastAsia" w:ascii="仿宋" w:hAnsi="仿宋" w:eastAsia="仿宋" w:cs="仿宋"/>
                <w:bCs/>
                <w:sz w:val="24"/>
                <w:szCs w:val="24"/>
              </w:rPr>
              <w:t>TB SSD +</w:t>
            </w:r>
            <w:r>
              <w:rPr>
                <w:rFonts w:ascii="仿宋" w:hAnsi="仿宋" w:eastAsia="仿宋" w:cs="仿宋"/>
                <w:bCs/>
                <w:sz w:val="24"/>
                <w:szCs w:val="24"/>
              </w:rPr>
              <w:t>126</w:t>
            </w:r>
            <w:r>
              <w:rPr>
                <w:rFonts w:hint="eastAsia" w:ascii="仿宋" w:hAnsi="仿宋" w:eastAsia="仿宋" w:cs="仿宋"/>
                <w:bCs/>
                <w:sz w:val="24"/>
                <w:szCs w:val="24"/>
              </w:rPr>
              <w:t>TB HDD(可用容量9</w:t>
            </w:r>
            <w:r>
              <w:rPr>
                <w:rFonts w:ascii="仿宋" w:hAnsi="仿宋" w:eastAsia="仿宋" w:cs="仿宋"/>
                <w:bCs/>
                <w:sz w:val="24"/>
                <w:szCs w:val="24"/>
              </w:rPr>
              <w:t>2</w:t>
            </w:r>
            <w:r>
              <w:rPr>
                <w:rFonts w:hint="eastAsia" w:ascii="仿宋" w:hAnsi="仿宋" w:eastAsia="仿宋" w:cs="仿宋"/>
                <w:bCs/>
                <w:sz w:val="24"/>
                <w:szCs w:val="24"/>
              </w:rPr>
              <w:t>TB)；总可用容量</w:t>
            </w:r>
            <w:r>
              <w:rPr>
                <w:rFonts w:ascii="仿宋" w:hAnsi="仿宋" w:eastAsia="仿宋" w:cs="仿宋"/>
                <w:szCs w:val="24"/>
              </w:rPr>
              <w:t>≥</w:t>
            </w:r>
            <w:r>
              <w:rPr>
                <w:rFonts w:ascii="仿宋" w:hAnsi="仿宋" w:eastAsia="仿宋" w:cs="仿宋"/>
                <w:bCs/>
                <w:sz w:val="24"/>
                <w:szCs w:val="24"/>
              </w:rPr>
              <w:t>24</w:t>
            </w:r>
            <w:r>
              <w:rPr>
                <w:rFonts w:hint="eastAsia" w:ascii="仿宋" w:hAnsi="仿宋" w:eastAsia="仿宋" w:cs="仿宋"/>
                <w:bCs/>
                <w:sz w:val="24"/>
                <w:szCs w:val="24"/>
              </w:rPr>
              <w:t>0</w:t>
            </w:r>
            <w:r>
              <w:rPr>
                <w:rFonts w:ascii="仿宋" w:hAnsi="仿宋" w:eastAsia="仿宋" w:cs="仿宋"/>
                <w:bCs/>
                <w:sz w:val="24"/>
                <w:szCs w:val="24"/>
              </w:rPr>
              <w:t>TB，</w:t>
            </w:r>
            <w:r>
              <w:rPr>
                <w:rFonts w:hint="eastAsia" w:ascii="仿宋" w:hAnsi="仿宋" w:eastAsia="仿宋" w:cs="仿宋"/>
                <w:bCs/>
                <w:sz w:val="24"/>
                <w:szCs w:val="24"/>
              </w:rPr>
              <w:t>五年7*24原厂质保且硬盘不返还服务。</w:t>
            </w:r>
          </w:p>
        </w:tc>
        <w:tc>
          <w:tcPr>
            <w:tcW w:w="660" w:type="dxa"/>
            <w:shd w:val="clear" w:color="auto" w:fill="auto"/>
            <w:noWrap/>
            <w:vAlign w:val="center"/>
          </w:tcPr>
          <w:p>
            <w:pPr>
              <w:widowControl/>
              <w:spacing w:line="360" w:lineRule="auto"/>
              <w:jc w:val="center"/>
              <w:rPr>
                <w:rFonts w:ascii="仿宋" w:hAnsi="仿宋" w:eastAsia="仿宋" w:cs="仿宋"/>
                <w:bCs/>
                <w:sz w:val="24"/>
                <w:szCs w:val="24"/>
              </w:rPr>
            </w:pPr>
            <w:r>
              <w:rPr>
                <w:rFonts w:hint="eastAsia" w:ascii="仿宋" w:hAnsi="仿宋" w:eastAsia="仿宋" w:cs="仿宋"/>
                <w:bCs/>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539" w:type="dxa"/>
            <w:shd w:val="clear" w:color="auto" w:fill="auto"/>
            <w:vAlign w:val="center"/>
          </w:tcPr>
          <w:p>
            <w:pPr>
              <w:widowControl/>
              <w:spacing w:line="360" w:lineRule="auto"/>
              <w:jc w:val="center"/>
              <w:rPr>
                <w:rFonts w:ascii="仿宋" w:hAnsi="仿宋" w:eastAsia="仿宋" w:cs="仿宋"/>
                <w:bCs/>
                <w:sz w:val="24"/>
                <w:szCs w:val="24"/>
              </w:rPr>
            </w:pPr>
            <w:r>
              <w:rPr>
                <w:rFonts w:hint="eastAsia" w:ascii="仿宋" w:hAnsi="仿宋" w:eastAsia="仿宋" w:cs="仿宋"/>
                <w:bCs/>
                <w:sz w:val="24"/>
                <w:szCs w:val="24"/>
              </w:rPr>
              <w:t>2</w:t>
            </w:r>
          </w:p>
        </w:tc>
        <w:tc>
          <w:tcPr>
            <w:tcW w:w="1225" w:type="dxa"/>
            <w:shd w:val="clear" w:color="auto" w:fill="auto"/>
            <w:vAlign w:val="center"/>
          </w:tcPr>
          <w:p>
            <w:pPr>
              <w:widowControl/>
              <w:spacing w:line="360" w:lineRule="auto"/>
              <w:jc w:val="center"/>
              <w:rPr>
                <w:rFonts w:ascii="仿宋" w:hAnsi="仿宋" w:eastAsia="仿宋" w:cs="仿宋"/>
                <w:bCs/>
                <w:sz w:val="24"/>
                <w:szCs w:val="24"/>
              </w:rPr>
            </w:pPr>
            <w:r>
              <w:rPr>
                <w:rFonts w:hint="eastAsia" w:ascii="仿宋" w:hAnsi="仿宋" w:eastAsia="仿宋" w:cs="仿宋"/>
                <w:bCs/>
                <w:sz w:val="24"/>
                <w:szCs w:val="24"/>
              </w:rPr>
              <w:t>存储设备2</w:t>
            </w:r>
          </w:p>
        </w:tc>
        <w:tc>
          <w:tcPr>
            <w:tcW w:w="7326" w:type="dxa"/>
            <w:shd w:val="clear" w:color="auto" w:fill="auto"/>
            <w:vAlign w:val="center"/>
          </w:tcPr>
          <w:p>
            <w:pPr>
              <w:widowControl/>
              <w:spacing w:line="360" w:lineRule="auto"/>
              <w:rPr>
                <w:rFonts w:ascii="仿宋" w:hAnsi="仿宋" w:eastAsia="仿宋" w:cs="仿宋"/>
                <w:bCs/>
                <w:sz w:val="24"/>
                <w:szCs w:val="24"/>
              </w:rPr>
            </w:pPr>
            <w:r>
              <w:rPr>
                <w:rFonts w:hint="eastAsia" w:ascii="仿宋" w:hAnsi="仿宋" w:eastAsia="仿宋" w:cs="仿宋"/>
                <w:bCs/>
                <w:sz w:val="24"/>
                <w:szCs w:val="24"/>
              </w:rPr>
              <w:t>双存储控制器，</w:t>
            </w:r>
            <w:r>
              <w:rPr>
                <w:rFonts w:ascii="仿宋" w:hAnsi="仿宋" w:eastAsia="仿宋" w:cs="仿宋"/>
                <w:szCs w:val="24"/>
              </w:rPr>
              <w:t>≥</w:t>
            </w:r>
            <w:r>
              <w:rPr>
                <w:rFonts w:ascii="仿宋" w:hAnsi="仿宋" w:eastAsia="仿宋" w:cs="仿宋"/>
                <w:bCs/>
                <w:sz w:val="24"/>
                <w:szCs w:val="24"/>
              </w:rPr>
              <w:t>64GB高速</w:t>
            </w:r>
            <w:r>
              <w:rPr>
                <w:rFonts w:hint="eastAsia" w:ascii="仿宋" w:hAnsi="仿宋" w:eastAsia="仿宋" w:cs="仿宋"/>
                <w:bCs/>
                <w:sz w:val="24"/>
                <w:szCs w:val="24"/>
              </w:rPr>
              <w:t>缓存，</w:t>
            </w:r>
            <w:r>
              <w:rPr>
                <w:rFonts w:ascii="仿宋" w:hAnsi="仿宋" w:eastAsia="仿宋" w:cs="仿宋"/>
                <w:szCs w:val="24"/>
              </w:rPr>
              <w:t>≥</w:t>
            </w:r>
            <w:r>
              <w:rPr>
                <w:rFonts w:hint="eastAsia" w:ascii="仿宋" w:hAnsi="仿宋" w:eastAsia="仿宋" w:cs="仿宋"/>
                <w:bCs/>
                <w:sz w:val="24"/>
                <w:szCs w:val="24"/>
              </w:rPr>
              <w:t>1</w:t>
            </w:r>
            <w:r>
              <w:rPr>
                <w:rFonts w:ascii="仿宋" w:hAnsi="仿宋" w:eastAsia="仿宋" w:cs="仿宋"/>
                <w:bCs/>
                <w:sz w:val="24"/>
                <w:szCs w:val="24"/>
              </w:rPr>
              <w:t>6GB NVDIMM，</w:t>
            </w:r>
            <w:r>
              <w:rPr>
                <w:rFonts w:hint="eastAsia" w:ascii="仿宋" w:hAnsi="仿宋" w:eastAsia="仿宋" w:cs="仿宋"/>
                <w:bCs/>
                <w:sz w:val="24"/>
                <w:szCs w:val="24"/>
              </w:rPr>
              <w:t>至少8个16Gb FC主机接口，主机控制柜：至少配置</w:t>
            </w:r>
            <w:r>
              <w:rPr>
                <w:rFonts w:ascii="仿宋" w:hAnsi="仿宋" w:eastAsia="仿宋" w:cs="仿宋"/>
                <w:bCs/>
                <w:sz w:val="24"/>
                <w:szCs w:val="24"/>
              </w:rPr>
              <w:t>2.88</w:t>
            </w:r>
            <w:r>
              <w:rPr>
                <w:rFonts w:hint="eastAsia" w:ascii="仿宋" w:hAnsi="仿宋" w:eastAsia="仿宋" w:cs="仿宋"/>
                <w:bCs/>
                <w:sz w:val="24"/>
                <w:szCs w:val="24"/>
              </w:rPr>
              <w:t>TB SSD+</w:t>
            </w:r>
            <w:r>
              <w:rPr>
                <w:rFonts w:ascii="仿宋" w:hAnsi="仿宋" w:eastAsia="仿宋" w:cs="仿宋"/>
                <w:bCs/>
                <w:sz w:val="24"/>
                <w:szCs w:val="24"/>
              </w:rPr>
              <w:t>42</w:t>
            </w:r>
            <w:r>
              <w:rPr>
                <w:rFonts w:hint="eastAsia" w:ascii="仿宋" w:hAnsi="仿宋" w:eastAsia="仿宋" w:cs="仿宋"/>
                <w:bCs/>
                <w:sz w:val="24"/>
                <w:szCs w:val="24"/>
              </w:rPr>
              <w:t>TB HDD(可用容量</w:t>
            </w:r>
            <w:r>
              <w:rPr>
                <w:rFonts w:ascii="仿宋" w:hAnsi="仿宋" w:eastAsia="仿宋" w:cs="仿宋"/>
                <w:bCs/>
                <w:sz w:val="24"/>
                <w:szCs w:val="24"/>
              </w:rPr>
              <w:t>30</w:t>
            </w:r>
            <w:r>
              <w:rPr>
                <w:rFonts w:hint="eastAsia" w:ascii="仿宋" w:hAnsi="仿宋" w:eastAsia="仿宋" w:cs="仿宋"/>
                <w:bCs/>
                <w:sz w:val="24"/>
                <w:szCs w:val="24"/>
              </w:rPr>
              <w:t>TB)；五年7*24原厂质保且硬盘不返还服务。</w:t>
            </w:r>
          </w:p>
        </w:tc>
        <w:tc>
          <w:tcPr>
            <w:tcW w:w="660" w:type="dxa"/>
            <w:shd w:val="clear" w:color="auto" w:fill="auto"/>
            <w:noWrap/>
            <w:vAlign w:val="center"/>
          </w:tcPr>
          <w:p>
            <w:pPr>
              <w:widowControl/>
              <w:spacing w:line="360" w:lineRule="auto"/>
              <w:jc w:val="center"/>
              <w:rPr>
                <w:rFonts w:ascii="仿宋" w:hAnsi="仿宋" w:eastAsia="仿宋" w:cs="仿宋"/>
                <w:bCs/>
                <w:sz w:val="24"/>
                <w:szCs w:val="24"/>
              </w:rPr>
            </w:pPr>
            <w:r>
              <w:rPr>
                <w:rFonts w:hint="eastAsia" w:ascii="仿宋" w:hAnsi="仿宋" w:eastAsia="仿宋" w:cs="仿宋"/>
                <w:bCs/>
                <w:sz w:val="24"/>
                <w:szCs w:val="24"/>
              </w:rPr>
              <w:t>1</w:t>
            </w:r>
          </w:p>
        </w:tc>
      </w:tr>
    </w:tbl>
    <w:p>
      <w:pPr>
        <w:pStyle w:val="22"/>
        <w:numPr>
          <w:ilvl w:val="255"/>
          <w:numId w:val="0"/>
        </w:numPr>
        <w:spacing w:line="360" w:lineRule="auto"/>
        <w:rPr>
          <w:rFonts w:ascii="仿宋" w:hAnsi="仿宋" w:eastAsia="仿宋" w:cs="仿宋"/>
        </w:rPr>
      </w:pPr>
      <w:r>
        <w:rPr>
          <w:rFonts w:hint="eastAsia" w:ascii="仿宋" w:hAnsi="仿宋" w:eastAsia="仿宋" w:cs="仿宋"/>
        </w:rPr>
        <w:t>三、详细采购参数</w:t>
      </w:r>
    </w:p>
    <w:p>
      <w:pPr>
        <w:rPr>
          <w:rFonts w:ascii="仿宋" w:hAnsi="仿宋" w:eastAsia="仿宋" w:cs="仿宋"/>
          <w:b/>
          <w:bCs/>
          <w:sz w:val="24"/>
          <w:szCs w:val="24"/>
        </w:rPr>
      </w:pPr>
      <w:r>
        <w:rPr>
          <w:rFonts w:hint="eastAsia" w:ascii="仿宋" w:hAnsi="仿宋" w:eastAsia="仿宋" w:cs="仿宋"/>
          <w:b/>
          <w:bCs/>
          <w:sz w:val="24"/>
          <w:szCs w:val="24"/>
        </w:rPr>
        <w:t>1、存储设备1</w:t>
      </w:r>
    </w:p>
    <w:tbl>
      <w:tblPr>
        <w:tblStyle w:val="15"/>
        <w:tblW w:w="49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8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10" w:type="pct"/>
            <w:shd w:val="clear" w:color="auto" w:fill="D8D8D8"/>
            <w:vAlign w:val="center"/>
          </w:tcPr>
          <w:p>
            <w:pPr>
              <w:widowControl/>
              <w:jc w:val="center"/>
              <w:rPr>
                <w:rFonts w:ascii="仿宋" w:hAnsi="仿宋" w:eastAsia="仿宋" w:cs="仿宋"/>
                <w:b/>
                <w:kern w:val="0"/>
              </w:rPr>
            </w:pPr>
            <w:r>
              <w:rPr>
                <w:rFonts w:hint="eastAsia" w:ascii="仿宋" w:hAnsi="仿宋" w:eastAsia="仿宋" w:cs="仿宋"/>
                <w:b/>
                <w:kern w:val="0"/>
              </w:rPr>
              <w:t>指标项</w:t>
            </w:r>
          </w:p>
        </w:tc>
        <w:tc>
          <w:tcPr>
            <w:tcW w:w="4389" w:type="pct"/>
            <w:shd w:val="clear" w:color="auto" w:fill="D8D8D8"/>
            <w:vAlign w:val="center"/>
          </w:tcPr>
          <w:p>
            <w:pPr>
              <w:widowControl/>
              <w:jc w:val="center"/>
              <w:rPr>
                <w:rFonts w:ascii="仿宋" w:hAnsi="仿宋" w:eastAsia="仿宋" w:cs="仿宋"/>
                <w:b/>
                <w:kern w:val="0"/>
              </w:rPr>
            </w:pPr>
            <w:r>
              <w:rPr>
                <w:rFonts w:hint="eastAsia" w:ascii="仿宋" w:hAnsi="仿宋" w:eastAsia="仿宋" w:cs="仿宋"/>
                <w:b/>
                <w:kern w:val="0"/>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610" w:type="pct"/>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▲存储架构</w:t>
            </w:r>
          </w:p>
        </w:tc>
        <w:tc>
          <w:tcPr>
            <w:tcW w:w="4389" w:type="pct"/>
            <w:shd w:val="clear" w:color="000000" w:fill="FFFFFF"/>
            <w:vAlign w:val="center"/>
          </w:tcPr>
          <w:p>
            <w:pPr>
              <w:widowControl/>
              <w:rPr>
                <w:rFonts w:ascii="仿宋" w:hAnsi="仿宋" w:eastAsia="仿宋" w:cs="仿宋"/>
                <w:kern w:val="0"/>
              </w:rPr>
            </w:pPr>
            <w:r>
              <w:rPr>
                <w:rFonts w:hint="eastAsia" w:ascii="仿宋" w:hAnsi="仿宋" w:eastAsia="仿宋" w:cs="仿宋"/>
                <w:color w:val="000000" w:themeColor="text1"/>
                <w:kern w:val="0"/>
                <w14:textFill>
                  <w14:solidFill>
                    <w14:schemeClr w14:val="tx1"/>
                  </w14:solidFill>
                </w14:textFill>
              </w:rPr>
              <w:t>存储架构采用高可用设计，单个控制器故障、更换、升级时，系统自动切换，对存储系统性能及业务不影响。（提供厂家官网截图或技术白皮书的证明，以及相关权威机构的测试报告）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▲Raid设计</w:t>
            </w:r>
          </w:p>
        </w:tc>
        <w:tc>
          <w:tcPr>
            <w:tcW w:w="4389" w:type="pct"/>
            <w:vAlign w:val="center"/>
          </w:tcPr>
          <w:p>
            <w:pPr>
              <w:rPr>
                <w:rFonts w:ascii="仿宋" w:hAnsi="仿宋" w:eastAsia="仿宋" w:cs="仿宋"/>
                <w:kern w:val="0"/>
              </w:rPr>
            </w:pPr>
            <w:r>
              <w:rPr>
                <w:rFonts w:hint="eastAsia" w:ascii="仿宋" w:hAnsi="仿宋" w:eastAsia="仿宋" w:cs="仿宋"/>
                <w:kern w:val="0"/>
              </w:rPr>
              <w:t>支持三盘校验，同一RAID组内任意三块数据磁盘(不含热备盘)失效时，数据不丢失。（提供厂家官网截图或技术白皮书的证明，以及具备CNAS或CMA认证的测试机构出具的测试报告）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610" w:type="pct"/>
            <w:vAlign w:val="center"/>
          </w:tcPr>
          <w:p>
            <w:pPr>
              <w:widowControl/>
              <w:jc w:val="center"/>
              <w:rPr>
                <w:rFonts w:ascii="仿宋" w:hAnsi="仿宋" w:eastAsia="仿宋" w:cs="仿宋"/>
              </w:rPr>
            </w:pPr>
            <w:r>
              <w:rPr>
                <w:rFonts w:hint="eastAsia" w:ascii="仿宋" w:hAnsi="仿宋" w:eastAsia="仿宋" w:cs="仿宋"/>
                <w:kern w:val="0"/>
              </w:rPr>
              <w:t>▲缓存设计</w:t>
            </w:r>
          </w:p>
        </w:tc>
        <w:tc>
          <w:tcPr>
            <w:tcW w:w="4389" w:type="pct"/>
          </w:tcPr>
          <w:p>
            <w:pPr>
              <w:rPr>
                <w:rFonts w:ascii="仿宋" w:hAnsi="仿宋" w:eastAsia="仿宋" w:cs="仿宋"/>
              </w:rPr>
            </w:pPr>
            <w:r>
              <w:rPr>
                <w:rFonts w:hint="eastAsia" w:ascii="仿宋" w:hAnsi="仿宋" w:eastAsia="仿宋" w:cs="仿宋"/>
                <w:kern w:val="0"/>
              </w:rPr>
              <w:t>采用NVDIMM非易失性缓存，对写入时不同大小的数据块进行整理和聚合，以条带顺序写入后端介质，极速提升随机写入效率（提供厂家官网截图或技术白皮书的证明，以及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▲性能</w:t>
            </w:r>
          </w:p>
        </w:tc>
        <w:tc>
          <w:tcPr>
            <w:tcW w:w="4389" w:type="pct"/>
            <w:vAlign w:val="center"/>
          </w:tcPr>
          <w:p>
            <w:pPr>
              <w:widowControl/>
              <w:rPr>
                <w:rFonts w:ascii="仿宋" w:hAnsi="仿宋" w:eastAsia="仿宋" w:cs="仿宋"/>
                <w:kern w:val="0"/>
              </w:rPr>
            </w:pPr>
            <w:r>
              <w:rPr>
                <w:rFonts w:hint="eastAsia" w:ascii="仿宋" w:hAnsi="仿宋" w:eastAsia="仿宋" w:cs="仿宋"/>
                <w:kern w:val="0"/>
              </w:rPr>
              <w:t>本次项目投标产品在单一存储控制器故障时，系统IOPS性能数值≥148000 IOPS，访问延迟≤0.5ms (测试条件：使用IOmeter，4KB数据块，100%随机写入操作，开启2倍以上在线实时数据压缩)，（保留到货验收权利，如果到货设备无法满足要求，视为虚假应标，可无条件要求退货，并列入采购黑名单）。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稳定性</w:t>
            </w:r>
          </w:p>
        </w:tc>
        <w:tc>
          <w:tcPr>
            <w:tcW w:w="4389" w:type="pct"/>
            <w:vAlign w:val="center"/>
          </w:tcPr>
          <w:p>
            <w:pPr>
              <w:widowControl/>
              <w:rPr>
                <w:rFonts w:ascii="仿宋" w:hAnsi="仿宋" w:eastAsia="仿宋" w:cs="仿宋"/>
                <w:kern w:val="0"/>
              </w:rPr>
            </w:pPr>
            <w:r>
              <w:rPr>
                <w:rFonts w:hint="eastAsia" w:ascii="仿宋" w:hAnsi="仿宋" w:eastAsia="仿宋" w:cs="仿宋"/>
                <w:kern w:val="0"/>
              </w:rPr>
              <w:t>开启重删、压缩、快照存储高级功能时，存储系统性能不受影响。（提供厂家官网截图或技术白皮书的证明，以及具备CNAS或CMA认证的测试机构出具的测试报告）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10" w:type="pct"/>
            <w:shd w:val="clear" w:color="000000" w:fill="FFFFFF"/>
            <w:vAlign w:val="center"/>
          </w:tcPr>
          <w:p>
            <w:pPr>
              <w:widowControl/>
              <w:jc w:val="center"/>
              <w:rPr>
                <w:rFonts w:ascii="仿宋" w:hAnsi="仿宋" w:eastAsia="仿宋" w:cs="仿宋"/>
                <w:kern w:val="0"/>
              </w:rPr>
            </w:pPr>
            <w:r>
              <w:rPr>
                <w:rFonts w:hint="eastAsia" w:ascii="仿宋" w:hAnsi="仿宋" w:eastAsia="仿宋" w:cs="仿宋"/>
                <w:kern w:val="0"/>
              </w:rPr>
              <w:t>★控制器</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配置2个存储控制器，最大可以扩展到8个控制器引擎。（不包括外接虚拟化网关或者NAS控制器等）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★处理器</w:t>
            </w:r>
          </w:p>
        </w:tc>
        <w:tc>
          <w:tcPr>
            <w:tcW w:w="4389" w:type="pct"/>
            <w:vAlign w:val="center"/>
          </w:tcPr>
          <w:p>
            <w:pPr>
              <w:widowControl/>
              <w:rPr>
                <w:rFonts w:ascii="仿宋" w:hAnsi="仿宋" w:eastAsia="仿宋" w:cs="仿宋"/>
                <w:kern w:val="0"/>
              </w:rPr>
            </w:pPr>
            <w:r>
              <w:rPr>
                <w:rFonts w:hint="eastAsia" w:ascii="仿宋" w:hAnsi="仿宋" w:eastAsia="仿宋" w:cs="仿宋"/>
                <w:kern w:val="0"/>
              </w:rPr>
              <w:t>单控制器配置2颗存储处理器，双控存储系统核心总数≥40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★缓存</w:t>
            </w:r>
          </w:p>
        </w:tc>
        <w:tc>
          <w:tcPr>
            <w:tcW w:w="4389" w:type="pct"/>
            <w:vAlign w:val="center"/>
          </w:tcPr>
          <w:p>
            <w:pPr>
              <w:widowControl/>
              <w:rPr>
                <w:rFonts w:ascii="仿宋" w:hAnsi="仿宋" w:eastAsia="仿宋" w:cs="仿宋"/>
                <w:kern w:val="0"/>
              </w:rPr>
            </w:pPr>
            <w:r>
              <w:rPr>
                <w:rFonts w:hint="eastAsia" w:ascii="仿宋" w:hAnsi="仿宋" w:eastAsia="仿宋" w:cs="仿宋"/>
                <w:kern w:val="0"/>
              </w:rPr>
              <w:t>双控制器实际共配置缓存≥128GB(非SSD硬盘、PCI-E SSD、Flash闪存)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★端口</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w:t>
            </w:r>
            <w:r>
              <w:rPr>
                <w:rFonts w:ascii="仿宋" w:hAnsi="仿宋" w:eastAsia="仿宋" w:cs="仿宋"/>
                <w:kern w:val="0"/>
              </w:rPr>
              <w:t>6</w:t>
            </w:r>
            <w:r>
              <w:rPr>
                <w:rFonts w:hint="eastAsia" w:ascii="仿宋" w:hAnsi="仿宋" w:eastAsia="仿宋" w:cs="仿宋"/>
                <w:kern w:val="0"/>
              </w:rPr>
              <w:t>个万兆电口，≥8个16Gb FC端口（含模块）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★容量</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w:t>
            </w:r>
            <w:r>
              <w:rPr>
                <w:rFonts w:ascii="仿宋" w:hAnsi="仿宋" w:eastAsia="仿宋" w:cs="仿宋"/>
                <w:kern w:val="0"/>
              </w:rPr>
              <w:t>34</w:t>
            </w:r>
            <w:r>
              <w:rPr>
                <w:rFonts w:hint="eastAsia" w:ascii="仿宋" w:hAnsi="仿宋" w:eastAsia="仿宋" w:cs="仿宋"/>
                <w:kern w:val="0"/>
              </w:rPr>
              <w:t>TB SSD，≥</w:t>
            </w:r>
            <w:r>
              <w:rPr>
                <w:rFonts w:ascii="仿宋" w:hAnsi="仿宋" w:eastAsia="仿宋" w:cs="仿宋"/>
                <w:kern w:val="0"/>
              </w:rPr>
              <w:t>336</w:t>
            </w:r>
            <w:r>
              <w:rPr>
                <w:rFonts w:hint="eastAsia" w:ascii="仿宋" w:hAnsi="仿宋" w:eastAsia="仿宋" w:cs="仿宋"/>
                <w:kern w:val="0"/>
              </w:rPr>
              <w:t>TB HDD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软件功能</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配置快照、克隆、自动精简、重删压缩软件功能，配置全容量软件许可，后续扩容无需购买授权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容灾复制</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配置数据容灾复制功能许可证，无容量限制。要求支持存储系统之间、存储系统到存储集群、存储集群之间的多对一数据复制、双向数据复制。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双活</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配置双活功能许可，不加额外网关的情况下可以实现存储系统的双活，在一台阵列故障的情况下，主机IO访问可以无缝切换到另外一台阵列而不会中断业务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图形化管理</w:t>
            </w:r>
          </w:p>
        </w:tc>
        <w:tc>
          <w:tcPr>
            <w:tcW w:w="4389" w:type="pct"/>
            <w:vAlign w:val="center"/>
          </w:tcPr>
          <w:p>
            <w:pPr>
              <w:widowControl/>
              <w:rPr>
                <w:rFonts w:ascii="仿宋" w:hAnsi="仿宋" w:eastAsia="仿宋" w:cs="仿宋"/>
                <w:kern w:val="0"/>
              </w:rPr>
            </w:pPr>
            <w:r>
              <w:rPr>
                <w:rFonts w:hint="eastAsia" w:ascii="仿宋" w:hAnsi="仿宋" w:eastAsia="仿宋" w:cs="仿宋"/>
                <w:kern w:val="0"/>
              </w:rPr>
              <w:t>配置图形化管理界面，配置命令行及存储集群统一图形化管理界面，支持日志监控及审计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610" w:type="pct"/>
            <w:vAlign w:val="center"/>
          </w:tcPr>
          <w:p>
            <w:pPr>
              <w:widowControl/>
              <w:jc w:val="center"/>
              <w:rPr>
                <w:rFonts w:ascii="仿宋" w:hAnsi="仿宋" w:eastAsia="仿宋" w:cs="仿宋"/>
                <w:color w:val="000000"/>
              </w:rPr>
            </w:pPr>
            <w:r>
              <w:rPr>
                <w:rFonts w:hint="eastAsia" w:ascii="仿宋" w:hAnsi="仿宋" w:eastAsia="仿宋" w:cs="仿宋"/>
                <w:kern w:val="0"/>
              </w:rPr>
              <w:t>▲智能数据缩减策略</w:t>
            </w:r>
          </w:p>
        </w:tc>
        <w:tc>
          <w:tcPr>
            <w:tcW w:w="4389" w:type="pct"/>
            <w:vAlign w:val="center"/>
          </w:tcPr>
          <w:p>
            <w:pPr>
              <w:widowControl/>
              <w:rPr>
                <w:rFonts w:ascii="仿宋" w:hAnsi="仿宋" w:eastAsia="仿宋" w:cs="仿宋"/>
                <w:color w:val="000000"/>
              </w:rPr>
            </w:pPr>
            <w:r>
              <w:rPr>
                <w:rFonts w:hint="eastAsia" w:ascii="仿宋" w:hAnsi="仿宋" w:eastAsia="仿宋" w:cs="仿宋"/>
                <w:kern w:val="0"/>
              </w:rPr>
              <w:t>支持根据应用类型，智能创建不同的数据缩减策略，提供不少于25种应用策略（提供具备CNAS或CMA认证的测试机构出具的测试报告）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10" w:type="pct"/>
            <w:vMerge w:val="restart"/>
            <w:vAlign w:val="center"/>
          </w:tcPr>
          <w:p>
            <w:pPr>
              <w:widowControl/>
              <w:jc w:val="center"/>
              <w:rPr>
                <w:rFonts w:ascii="仿宋" w:hAnsi="仿宋" w:eastAsia="仿宋" w:cs="仿宋"/>
                <w:kern w:val="0"/>
              </w:rPr>
            </w:pPr>
            <w:r>
              <w:rPr>
                <w:rFonts w:hint="eastAsia" w:ascii="仿宋" w:hAnsi="仿宋" w:eastAsia="仿宋" w:cs="仿宋"/>
                <w:kern w:val="0"/>
              </w:rPr>
              <w:t>智能管理</w:t>
            </w:r>
          </w:p>
        </w:tc>
        <w:tc>
          <w:tcPr>
            <w:tcW w:w="4389" w:type="pct"/>
            <w:vAlign w:val="center"/>
          </w:tcPr>
          <w:p>
            <w:pPr>
              <w:widowControl/>
              <w:rPr>
                <w:rFonts w:ascii="仿宋" w:hAnsi="仿宋" w:eastAsia="仿宋" w:cs="仿宋"/>
                <w:kern w:val="0"/>
              </w:rPr>
            </w:pPr>
            <w:r>
              <w:rPr>
                <w:rFonts w:hint="eastAsia" w:ascii="仿宋" w:hAnsi="仿宋" w:eastAsia="仿宋" w:cs="仿宋"/>
                <w:kern w:val="0"/>
              </w:rPr>
              <w:t>支持LUN应用属性，支持按照应用程序展示卷、容量及性能信息（提供具备CNAS&amp;CMA认证的测试机构出具的测试报告）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10" w:type="pct"/>
            <w:vMerge w:val="continue"/>
            <w:vAlign w:val="center"/>
          </w:tcPr>
          <w:p>
            <w:pPr>
              <w:widowControl/>
              <w:jc w:val="center"/>
              <w:rPr>
                <w:rFonts w:ascii="仿宋" w:hAnsi="仿宋" w:eastAsia="仿宋" w:cs="仿宋"/>
                <w:kern w:val="0"/>
              </w:rPr>
            </w:pPr>
          </w:p>
        </w:tc>
        <w:tc>
          <w:tcPr>
            <w:tcW w:w="4389" w:type="pct"/>
            <w:vAlign w:val="center"/>
          </w:tcPr>
          <w:p>
            <w:pPr>
              <w:widowControl/>
              <w:rPr>
                <w:rFonts w:ascii="仿宋" w:hAnsi="仿宋" w:eastAsia="仿宋" w:cs="仿宋"/>
                <w:kern w:val="0"/>
              </w:rPr>
            </w:pPr>
            <w:r>
              <w:rPr>
                <w:rFonts w:hint="eastAsia" w:ascii="仿宋" w:hAnsi="仿宋" w:eastAsia="仿宋" w:cs="仿宋"/>
                <w:kern w:val="0"/>
              </w:rPr>
              <w:t>支持容量预测功能，能够预测存储满盘时间，显示存储容量当前已用容量、总容量、性能降级阈值和存储池容量使用预测值。（提供具备CNAS或CMA认证的测试机构出具的测试报告）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0" w:type="pct"/>
            <w:vAlign w:val="center"/>
          </w:tcPr>
          <w:p>
            <w:pPr>
              <w:widowControl/>
              <w:jc w:val="center"/>
              <w:rPr>
                <w:rFonts w:ascii="仿宋" w:hAnsi="仿宋" w:eastAsia="仿宋" w:cs="仿宋"/>
                <w:kern w:val="0"/>
              </w:rPr>
            </w:pPr>
            <w:r>
              <w:rPr>
                <w:rFonts w:hint="eastAsia" w:ascii="仿宋" w:hAnsi="仿宋" w:eastAsia="仿宋" w:cs="仿宋"/>
                <w:kern w:val="0"/>
              </w:rPr>
              <w:t>服务支持</w:t>
            </w:r>
          </w:p>
        </w:tc>
        <w:tc>
          <w:tcPr>
            <w:tcW w:w="4389" w:type="pct"/>
            <w:vAlign w:val="center"/>
          </w:tcPr>
          <w:p>
            <w:pPr>
              <w:widowControl/>
              <w:rPr>
                <w:rFonts w:ascii="仿宋" w:hAnsi="仿宋" w:eastAsia="仿宋" w:cs="仿宋"/>
                <w:kern w:val="0"/>
              </w:rPr>
            </w:pPr>
            <w:r>
              <w:rPr>
                <w:rFonts w:hint="eastAsia" w:ascii="仿宋" w:hAnsi="仿宋" w:eastAsia="仿宋" w:cs="仿宋"/>
                <w:kern w:val="0"/>
              </w:rPr>
              <w:t>提供5年原厂7*24小时质保，提供硬盘不返还服务</w:t>
            </w:r>
          </w:p>
        </w:tc>
      </w:tr>
    </w:tbl>
    <w:p>
      <w:pPr>
        <w:rPr>
          <w:rFonts w:ascii="仿宋" w:hAnsi="仿宋" w:eastAsia="仿宋" w:cs="仿宋"/>
          <w:b/>
          <w:bCs/>
          <w:sz w:val="24"/>
          <w:szCs w:val="24"/>
        </w:rPr>
      </w:pPr>
    </w:p>
    <w:p>
      <w:pPr>
        <w:rPr>
          <w:rFonts w:ascii="仿宋" w:hAnsi="仿宋" w:eastAsia="仿宋" w:cs="仿宋"/>
          <w:b/>
          <w:bCs/>
          <w:sz w:val="24"/>
          <w:szCs w:val="24"/>
        </w:rPr>
      </w:pPr>
      <w:r>
        <w:rPr>
          <w:rFonts w:hint="eastAsia" w:ascii="仿宋" w:hAnsi="仿宋" w:eastAsia="仿宋" w:cs="仿宋"/>
          <w:b/>
          <w:bCs/>
          <w:sz w:val="24"/>
          <w:szCs w:val="24"/>
        </w:rPr>
        <w:t>2、存储设备2</w:t>
      </w:r>
    </w:p>
    <w:tbl>
      <w:tblPr>
        <w:tblStyle w:val="15"/>
        <w:tblW w:w="49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8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96" w:type="pct"/>
            <w:shd w:val="clear" w:color="auto" w:fill="D8D8D8"/>
            <w:vAlign w:val="center"/>
          </w:tcPr>
          <w:p>
            <w:pPr>
              <w:widowControl/>
              <w:jc w:val="center"/>
              <w:rPr>
                <w:rFonts w:ascii="仿宋" w:hAnsi="仿宋" w:eastAsia="仿宋" w:cs="仿宋"/>
                <w:b/>
                <w:kern w:val="0"/>
              </w:rPr>
            </w:pPr>
            <w:r>
              <w:rPr>
                <w:rFonts w:hint="eastAsia" w:ascii="仿宋" w:hAnsi="仿宋" w:eastAsia="仿宋" w:cs="仿宋"/>
                <w:b/>
                <w:kern w:val="0"/>
              </w:rPr>
              <w:t>指标项</w:t>
            </w:r>
          </w:p>
        </w:tc>
        <w:tc>
          <w:tcPr>
            <w:tcW w:w="4403" w:type="pct"/>
            <w:shd w:val="clear" w:color="auto" w:fill="D8D8D8"/>
            <w:vAlign w:val="center"/>
          </w:tcPr>
          <w:p>
            <w:pPr>
              <w:widowControl/>
              <w:jc w:val="center"/>
              <w:rPr>
                <w:rFonts w:ascii="仿宋" w:hAnsi="仿宋" w:eastAsia="仿宋" w:cs="仿宋"/>
                <w:b/>
                <w:kern w:val="0"/>
              </w:rPr>
            </w:pPr>
            <w:r>
              <w:rPr>
                <w:rFonts w:hint="eastAsia" w:ascii="仿宋" w:hAnsi="仿宋" w:eastAsia="仿宋" w:cs="仿宋"/>
                <w:b/>
                <w:kern w:val="0"/>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596" w:type="pct"/>
            <w:shd w:val="clear" w:color="auto" w:fill="auto"/>
            <w:vAlign w:val="center"/>
          </w:tcPr>
          <w:p>
            <w:pPr>
              <w:widowControl/>
              <w:jc w:val="center"/>
              <w:rPr>
                <w:rFonts w:ascii="仿宋" w:hAnsi="仿宋" w:eastAsia="仿宋" w:cs="仿宋"/>
                <w:kern w:val="0"/>
              </w:rPr>
            </w:pPr>
            <w:r>
              <w:rPr>
                <w:rFonts w:hint="eastAsia" w:ascii="仿宋" w:hAnsi="仿宋" w:eastAsia="仿宋" w:cs="仿宋"/>
                <w:kern w:val="0"/>
              </w:rPr>
              <w:t>▲存储架构</w:t>
            </w:r>
          </w:p>
        </w:tc>
        <w:tc>
          <w:tcPr>
            <w:tcW w:w="4403" w:type="pct"/>
            <w:shd w:val="clear" w:color="000000" w:fill="FFFFFF"/>
            <w:vAlign w:val="center"/>
          </w:tcPr>
          <w:p>
            <w:pPr>
              <w:widowControl/>
              <w:rPr>
                <w:rFonts w:ascii="仿宋" w:hAnsi="仿宋" w:eastAsia="仿宋" w:cs="仿宋"/>
                <w:kern w:val="0"/>
              </w:rPr>
            </w:pPr>
            <w:r>
              <w:rPr>
                <w:rFonts w:hint="eastAsia" w:ascii="仿宋" w:hAnsi="仿宋" w:eastAsia="仿宋" w:cs="仿宋"/>
                <w:color w:val="000000" w:themeColor="text1"/>
                <w:kern w:val="0"/>
                <w14:textFill>
                  <w14:solidFill>
                    <w14:schemeClr w14:val="tx1"/>
                  </w14:solidFill>
                </w14:textFill>
              </w:rPr>
              <w:t>存储架构采用高可用设计，单个控制器故障、更换、升级时，系统自动切换，对存储系统性能及业务不影响。（提供厂家官网截图或技术白皮书的证明，以及相关权威机构的测试报告）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▲Raid设计</w:t>
            </w:r>
          </w:p>
        </w:tc>
        <w:tc>
          <w:tcPr>
            <w:tcW w:w="4403" w:type="pct"/>
            <w:vAlign w:val="center"/>
          </w:tcPr>
          <w:p>
            <w:pPr>
              <w:rPr>
                <w:rFonts w:ascii="仿宋" w:hAnsi="仿宋" w:eastAsia="仿宋" w:cs="仿宋"/>
                <w:kern w:val="0"/>
              </w:rPr>
            </w:pPr>
            <w:r>
              <w:rPr>
                <w:rFonts w:hint="eastAsia" w:ascii="仿宋" w:hAnsi="仿宋" w:eastAsia="仿宋" w:cs="仿宋"/>
                <w:kern w:val="0"/>
              </w:rPr>
              <w:t>支持三盘校验，同一RAID组内任意三块数据磁盘(不含热备盘)失效时，数据不丢失。（提供厂家官网截图或技术白皮书的证明，以及具备CNAS或CMA认证的测试机构出具的测试报告）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596" w:type="pct"/>
            <w:vAlign w:val="center"/>
          </w:tcPr>
          <w:p>
            <w:pPr>
              <w:widowControl/>
              <w:jc w:val="center"/>
              <w:rPr>
                <w:rFonts w:ascii="仿宋" w:hAnsi="仿宋" w:eastAsia="仿宋" w:cs="仿宋"/>
              </w:rPr>
            </w:pPr>
            <w:r>
              <w:rPr>
                <w:rFonts w:hint="eastAsia" w:ascii="仿宋" w:hAnsi="仿宋" w:eastAsia="仿宋" w:cs="仿宋"/>
                <w:kern w:val="0"/>
              </w:rPr>
              <w:t>▲缓存设计</w:t>
            </w:r>
          </w:p>
        </w:tc>
        <w:tc>
          <w:tcPr>
            <w:tcW w:w="4403" w:type="pct"/>
          </w:tcPr>
          <w:p>
            <w:pPr>
              <w:rPr>
                <w:rFonts w:ascii="仿宋" w:hAnsi="仿宋" w:eastAsia="仿宋" w:cs="仿宋"/>
              </w:rPr>
            </w:pPr>
            <w:r>
              <w:rPr>
                <w:rFonts w:hint="eastAsia" w:ascii="仿宋" w:hAnsi="仿宋" w:eastAsia="仿宋" w:cs="仿宋"/>
                <w:kern w:val="0"/>
              </w:rPr>
              <w:t>采用NVDIMM非易失性缓存，对写入时不同大小的数据块进行整理和聚合，以条带顺序写入后端介质，极速提升随机写入效率（提供厂家官网截图或技术白皮书的证明，以及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▲性能</w:t>
            </w:r>
          </w:p>
        </w:tc>
        <w:tc>
          <w:tcPr>
            <w:tcW w:w="4403" w:type="pct"/>
            <w:vAlign w:val="center"/>
          </w:tcPr>
          <w:p>
            <w:pPr>
              <w:widowControl/>
              <w:rPr>
                <w:rFonts w:ascii="仿宋" w:hAnsi="仿宋" w:eastAsia="仿宋" w:cs="仿宋"/>
                <w:kern w:val="0"/>
              </w:rPr>
            </w:pPr>
            <w:r>
              <w:rPr>
                <w:rFonts w:hint="eastAsia" w:ascii="仿宋" w:hAnsi="仿宋" w:eastAsia="仿宋" w:cs="仿宋"/>
                <w:kern w:val="0"/>
              </w:rPr>
              <w:t>本次项目投标产品在单一存储控制器故障时，系统IOPS性能数值≥2</w:t>
            </w:r>
            <w:r>
              <w:rPr>
                <w:rFonts w:ascii="仿宋" w:hAnsi="仿宋" w:eastAsia="仿宋" w:cs="仿宋"/>
                <w:kern w:val="0"/>
              </w:rPr>
              <w:t>80</w:t>
            </w:r>
            <w:r>
              <w:rPr>
                <w:rFonts w:hint="eastAsia" w:ascii="仿宋" w:hAnsi="仿宋" w:eastAsia="仿宋" w:cs="仿宋"/>
                <w:kern w:val="0"/>
              </w:rPr>
              <w:t>00 IOPS，访问延迟≤0.5ms (测试条件：使用IOmeter，4KB数据块，100%随机写入操作，开启2倍以上在线实时数据压缩)，（保留到货验收权利，如果到货设备无法满足要求，视为虚假应标，可无条件要求退货，并列入采购黑名单）。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稳定性</w:t>
            </w:r>
          </w:p>
        </w:tc>
        <w:tc>
          <w:tcPr>
            <w:tcW w:w="4403" w:type="pct"/>
            <w:vAlign w:val="center"/>
          </w:tcPr>
          <w:p>
            <w:pPr>
              <w:widowControl/>
              <w:rPr>
                <w:rFonts w:ascii="仿宋" w:hAnsi="仿宋" w:eastAsia="仿宋" w:cs="仿宋"/>
                <w:kern w:val="0"/>
              </w:rPr>
            </w:pPr>
            <w:r>
              <w:rPr>
                <w:rFonts w:hint="eastAsia" w:ascii="仿宋" w:hAnsi="仿宋" w:eastAsia="仿宋" w:cs="仿宋"/>
                <w:kern w:val="0"/>
              </w:rPr>
              <w:t>开启重删、压缩、快照存储高级功能时，存储系统性能不受影响。（提供厂家官网截图或技术白皮书的证明，以及具备CNAS或CMA认证的测试机构出具的测试报告）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96" w:type="pct"/>
            <w:shd w:val="clear" w:color="000000" w:fill="FFFFFF"/>
            <w:vAlign w:val="center"/>
          </w:tcPr>
          <w:p>
            <w:pPr>
              <w:widowControl/>
              <w:jc w:val="center"/>
              <w:rPr>
                <w:rFonts w:ascii="仿宋" w:hAnsi="仿宋" w:eastAsia="仿宋" w:cs="仿宋"/>
                <w:kern w:val="0"/>
              </w:rPr>
            </w:pPr>
            <w:r>
              <w:rPr>
                <w:rFonts w:hint="eastAsia" w:ascii="仿宋" w:hAnsi="仿宋" w:eastAsia="仿宋" w:cs="仿宋"/>
                <w:kern w:val="0"/>
              </w:rPr>
              <w:t>★控制器</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配置2个存储控制器，最大可以扩展到8个控制器引擎。（不包括外接虚拟化网关或者NAS控制器等）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★处理器</w:t>
            </w:r>
          </w:p>
        </w:tc>
        <w:tc>
          <w:tcPr>
            <w:tcW w:w="4403" w:type="pct"/>
            <w:vAlign w:val="center"/>
          </w:tcPr>
          <w:p>
            <w:pPr>
              <w:widowControl/>
              <w:rPr>
                <w:rFonts w:ascii="仿宋" w:hAnsi="仿宋" w:eastAsia="仿宋" w:cs="仿宋"/>
                <w:kern w:val="0"/>
              </w:rPr>
            </w:pPr>
            <w:r>
              <w:rPr>
                <w:rFonts w:hint="eastAsia" w:ascii="仿宋" w:hAnsi="仿宋" w:eastAsia="仿宋" w:cs="仿宋"/>
                <w:kern w:val="0"/>
              </w:rPr>
              <w:t>单控制器配置</w:t>
            </w:r>
            <w:r>
              <w:rPr>
                <w:rFonts w:ascii="仿宋" w:hAnsi="仿宋" w:eastAsia="仿宋" w:cs="仿宋"/>
                <w:kern w:val="0"/>
              </w:rPr>
              <w:t>1</w:t>
            </w:r>
            <w:r>
              <w:rPr>
                <w:rFonts w:hint="eastAsia" w:ascii="仿宋" w:hAnsi="仿宋" w:eastAsia="仿宋" w:cs="仿宋"/>
                <w:kern w:val="0"/>
              </w:rPr>
              <w:t>颗存储处理器，双控存储系统核心总数≥</w:t>
            </w:r>
            <w:r>
              <w:rPr>
                <w:rFonts w:ascii="仿宋" w:hAnsi="仿宋" w:eastAsia="仿宋" w:cs="仿宋"/>
                <w:kern w:val="0"/>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★缓存</w:t>
            </w:r>
          </w:p>
        </w:tc>
        <w:tc>
          <w:tcPr>
            <w:tcW w:w="4403" w:type="pct"/>
            <w:vAlign w:val="center"/>
          </w:tcPr>
          <w:p>
            <w:pPr>
              <w:widowControl/>
              <w:rPr>
                <w:rFonts w:ascii="仿宋" w:hAnsi="仿宋" w:eastAsia="仿宋" w:cs="仿宋"/>
                <w:kern w:val="0"/>
              </w:rPr>
            </w:pPr>
            <w:r>
              <w:rPr>
                <w:rFonts w:hint="eastAsia" w:ascii="仿宋" w:hAnsi="仿宋" w:eastAsia="仿宋" w:cs="仿宋"/>
                <w:kern w:val="0"/>
              </w:rPr>
              <w:t>双控制器实际共配置缓存≥</w:t>
            </w:r>
            <w:r>
              <w:rPr>
                <w:rFonts w:ascii="仿宋" w:hAnsi="仿宋" w:eastAsia="仿宋" w:cs="仿宋"/>
                <w:kern w:val="0"/>
              </w:rPr>
              <w:t>64</w:t>
            </w:r>
            <w:r>
              <w:rPr>
                <w:rFonts w:hint="eastAsia" w:ascii="仿宋" w:hAnsi="仿宋" w:eastAsia="仿宋" w:cs="仿宋"/>
                <w:kern w:val="0"/>
              </w:rPr>
              <w:t>GB(非SSD硬盘、PCI-E SSD、Flash闪存)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★端口</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w:t>
            </w:r>
            <w:r>
              <w:rPr>
                <w:rFonts w:ascii="仿宋" w:hAnsi="仿宋" w:eastAsia="仿宋" w:cs="仿宋"/>
                <w:kern w:val="0"/>
              </w:rPr>
              <w:t>6</w:t>
            </w:r>
            <w:r>
              <w:rPr>
                <w:rFonts w:hint="eastAsia" w:ascii="仿宋" w:hAnsi="仿宋" w:eastAsia="仿宋" w:cs="仿宋"/>
                <w:kern w:val="0"/>
              </w:rPr>
              <w:t>个万兆电口，≥8个16Gb FC端口（含模块）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★容量</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w:t>
            </w:r>
            <w:r>
              <w:rPr>
                <w:rFonts w:ascii="仿宋" w:hAnsi="仿宋" w:eastAsia="仿宋" w:cs="仿宋"/>
                <w:kern w:val="0"/>
              </w:rPr>
              <w:t>2.88</w:t>
            </w:r>
            <w:r>
              <w:rPr>
                <w:rFonts w:hint="eastAsia" w:ascii="仿宋" w:hAnsi="仿宋" w:eastAsia="仿宋" w:cs="仿宋"/>
                <w:kern w:val="0"/>
              </w:rPr>
              <w:t>TB SSD，≥42TB HDD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软件功能</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配置快照、克隆、自动精简、重删压缩软件功能，配置全容量软件许可，后续扩容无需购买授权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容灾复制</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配置数据容灾复制功能许可证，无容量限制。要求支持存储系统之间、存储系统到存储集群、存储集群之间的多对一数据复制、双向数据复制。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双活</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配置双活功能许可，不加额外网关的情况下可以实现存储系统的双活，在一台阵列故障的情况下，主机IO访问可以无缝切换到另外一台阵列而不会中断业务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图形化管理</w:t>
            </w:r>
          </w:p>
        </w:tc>
        <w:tc>
          <w:tcPr>
            <w:tcW w:w="4403" w:type="pct"/>
            <w:vAlign w:val="center"/>
          </w:tcPr>
          <w:p>
            <w:pPr>
              <w:widowControl/>
              <w:rPr>
                <w:rFonts w:ascii="仿宋" w:hAnsi="仿宋" w:eastAsia="仿宋" w:cs="仿宋"/>
                <w:kern w:val="0"/>
              </w:rPr>
            </w:pPr>
            <w:r>
              <w:rPr>
                <w:rFonts w:hint="eastAsia" w:ascii="仿宋" w:hAnsi="仿宋" w:eastAsia="仿宋" w:cs="仿宋"/>
                <w:kern w:val="0"/>
              </w:rPr>
              <w:t>配置图形化管理界面，配置命令行及存储集群统一图形化管理界面，支持日志监控及审计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jc w:val="center"/>
        </w:trPr>
        <w:tc>
          <w:tcPr>
            <w:tcW w:w="596" w:type="pct"/>
            <w:vAlign w:val="center"/>
          </w:tcPr>
          <w:p>
            <w:pPr>
              <w:widowControl/>
              <w:jc w:val="center"/>
              <w:rPr>
                <w:rFonts w:ascii="仿宋" w:hAnsi="仿宋" w:eastAsia="仿宋" w:cs="仿宋"/>
                <w:color w:val="000000"/>
              </w:rPr>
            </w:pPr>
            <w:r>
              <w:rPr>
                <w:rFonts w:hint="eastAsia" w:ascii="仿宋" w:hAnsi="仿宋" w:eastAsia="仿宋" w:cs="仿宋"/>
                <w:kern w:val="0"/>
              </w:rPr>
              <w:t>▲智能数据缩减策略</w:t>
            </w:r>
          </w:p>
        </w:tc>
        <w:tc>
          <w:tcPr>
            <w:tcW w:w="4403" w:type="pct"/>
            <w:vAlign w:val="center"/>
          </w:tcPr>
          <w:p>
            <w:pPr>
              <w:widowControl/>
              <w:rPr>
                <w:rFonts w:ascii="仿宋" w:hAnsi="仿宋" w:eastAsia="仿宋" w:cs="仿宋"/>
                <w:color w:val="000000"/>
              </w:rPr>
            </w:pPr>
            <w:r>
              <w:rPr>
                <w:rFonts w:hint="eastAsia" w:ascii="仿宋" w:hAnsi="仿宋" w:eastAsia="仿宋" w:cs="仿宋"/>
                <w:kern w:val="0"/>
              </w:rPr>
              <w:t>支持根据应用类型，智能创建不同的数据缩减策略，提供不少于25种应用策略（提供具备CNAS或CMA认证的测试机构出具的测试报告）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96" w:type="pct"/>
            <w:vMerge w:val="restart"/>
            <w:vAlign w:val="center"/>
          </w:tcPr>
          <w:p>
            <w:pPr>
              <w:widowControl/>
              <w:jc w:val="center"/>
              <w:rPr>
                <w:rFonts w:ascii="仿宋" w:hAnsi="仿宋" w:eastAsia="仿宋" w:cs="仿宋"/>
                <w:kern w:val="0"/>
              </w:rPr>
            </w:pPr>
            <w:r>
              <w:rPr>
                <w:rFonts w:hint="eastAsia" w:ascii="仿宋" w:hAnsi="仿宋" w:eastAsia="仿宋" w:cs="仿宋"/>
                <w:kern w:val="0"/>
              </w:rPr>
              <w:t>智能管理</w:t>
            </w:r>
          </w:p>
        </w:tc>
        <w:tc>
          <w:tcPr>
            <w:tcW w:w="4403" w:type="pct"/>
            <w:vAlign w:val="center"/>
          </w:tcPr>
          <w:p>
            <w:pPr>
              <w:widowControl/>
              <w:rPr>
                <w:rFonts w:ascii="仿宋" w:hAnsi="仿宋" w:eastAsia="仿宋" w:cs="仿宋"/>
                <w:kern w:val="0"/>
              </w:rPr>
            </w:pPr>
            <w:r>
              <w:rPr>
                <w:rFonts w:hint="eastAsia" w:ascii="仿宋" w:hAnsi="仿宋" w:eastAsia="仿宋" w:cs="仿宋"/>
                <w:kern w:val="0"/>
              </w:rPr>
              <w:t>支持LUN应用属性，支持按照应用程序展示卷、容量及性能信息（提供具备CNAS&amp;CMA认证的测试机构出具的测试报告）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96" w:type="pct"/>
            <w:vMerge w:val="continue"/>
            <w:vAlign w:val="center"/>
          </w:tcPr>
          <w:p>
            <w:pPr>
              <w:widowControl/>
              <w:jc w:val="center"/>
              <w:rPr>
                <w:rFonts w:ascii="仿宋" w:hAnsi="仿宋" w:eastAsia="仿宋" w:cs="仿宋"/>
                <w:kern w:val="0"/>
              </w:rPr>
            </w:pPr>
          </w:p>
        </w:tc>
        <w:tc>
          <w:tcPr>
            <w:tcW w:w="4403" w:type="pct"/>
            <w:vAlign w:val="center"/>
          </w:tcPr>
          <w:p>
            <w:pPr>
              <w:widowControl/>
              <w:rPr>
                <w:rFonts w:ascii="仿宋" w:hAnsi="仿宋" w:eastAsia="仿宋" w:cs="仿宋"/>
                <w:kern w:val="0"/>
              </w:rPr>
            </w:pPr>
            <w:r>
              <w:rPr>
                <w:rFonts w:hint="eastAsia" w:ascii="仿宋" w:hAnsi="仿宋" w:eastAsia="仿宋" w:cs="仿宋"/>
                <w:kern w:val="0"/>
              </w:rPr>
              <w:t>支持容量预测功能，能够预测存储满盘时间，显示存储容量当前已用容量、总容量、性能降级阈值和存储池容量使用预测值。（提供具备CNAS或CMA认证的测试机构出具的测试报告）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6" w:type="pct"/>
            <w:vAlign w:val="center"/>
          </w:tcPr>
          <w:p>
            <w:pPr>
              <w:widowControl/>
              <w:jc w:val="center"/>
              <w:rPr>
                <w:rFonts w:ascii="仿宋" w:hAnsi="仿宋" w:eastAsia="仿宋" w:cs="仿宋"/>
                <w:kern w:val="0"/>
              </w:rPr>
            </w:pPr>
            <w:r>
              <w:rPr>
                <w:rFonts w:hint="eastAsia" w:ascii="仿宋" w:hAnsi="仿宋" w:eastAsia="仿宋" w:cs="仿宋"/>
                <w:kern w:val="0"/>
              </w:rPr>
              <w:t>服务支持</w:t>
            </w:r>
          </w:p>
        </w:tc>
        <w:tc>
          <w:tcPr>
            <w:tcW w:w="4403" w:type="pct"/>
            <w:vAlign w:val="center"/>
          </w:tcPr>
          <w:p>
            <w:pPr>
              <w:widowControl/>
              <w:rPr>
                <w:rFonts w:ascii="仿宋" w:hAnsi="仿宋" w:eastAsia="仿宋" w:cs="仿宋"/>
                <w:kern w:val="0"/>
              </w:rPr>
            </w:pPr>
            <w:r>
              <w:rPr>
                <w:rFonts w:hint="eastAsia" w:ascii="仿宋" w:hAnsi="仿宋" w:eastAsia="仿宋" w:cs="仿宋"/>
                <w:kern w:val="0"/>
              </w:rPr>
              <w:t>提供5年原厂7*24小时质保，提供硬盘不返还服务</w:t>
            </w:r>
          </w:p>
        </w:tc>
      </w:tr>
    </w:tbl>
    <w:p>
      <w:pPr>
        <w:pStyle w:val="19"/>
      </w:pPr>
    </w:p>
    <w:p>
      <w:pPr>
        <w:pStyle w:val="22"/>
        <w:numPr>
          <w:ilvl w:val="255"/>
          <w:numId w:val="0"/>
        </w:numPr>
        <w:spacing w:line="360" w:lineRule="auto"/>
        <w:rPr>
          <w:rFonts w:ascii="仿宋" w:hAnsi="仿宋" w:eastAsia="仿宋" w:cs="仿宋"/>
        </w:rPr>
      </w:pPr>
      <w:r>
        <w:rPr>
          <w:rFonts w:hint="eastAsia" w:ascii="仿宋" w:hAnsi="仿宋" w:eastAsia="仿宋" w:cs="仿宋"/>
        </w:rPr>
        <w:t>四、实施方案</w:t>
      </w:r>
    </w:p>
    <w:p>
      <w:pPr>
        <w:spacing w:line="360" w:lineRule="auto"/>
        <w:ind w:firstLine="480"/>
        <w:rPr>
          <w:rFonts w:ascii="仿宋" w:hAnsi="仿宋" w:eastAsia="仿宋" w:cs="仿宋"/>
          <w:bCs/>
          <w:sz w:val="24"/>
          <w:szCs w:val="24"/>
        </w:rPr>
      </w:pPr>
      <w:r>
        <w:rPr>
          <w:rFonts w:hint="eastAsia" w:ascii="仿宋" w:hAnsi="仿宋" w:eastAsia="仿宋" w:cs="仿宋"/>
          <w:bCs/>
          <w:sz w:val="24"/>
          <w:szCs w:val="24"/>
        </w:rPr>
        <w:t>本项目为存储替换，后期涉及到数据迁移服务，在项目后期中标方需要配合甲方完成数据迁移工作。另外供应商应根据采购文件及本项目特点，提供项目安装调试计划方案，包含供货计划、设备安装计划安排等，做到甲方进程需求，实时响应。</w:t>
      </w:r>
    </w:p>
    <w:p>
      <w:pPr>
        <w:pStyle w:val="22"/>
        <w:numPr>
          <w:ilvl w:val="255"/>
          <w:numId w:val="0"/>
        </w:numPr>
        <w:spacing w:line="360" w:lineRule="auto"/>
        <w:rPr>
          <w:rFonts w:ascii="仿宋" w:hAnsi="仿宋" w:eastAsia="仿宋" w:cs="仿宋"/>
        </w:rPr>
      </w:pPr>
      <w:r>
        <w:rPr>
          <w:rFonts w:hint="eastAsia" w:ascii="仿宋" w:hAnsi="仿宋" w:eastAsia="仿宋" w:cs="仿宋"/>
        </w:rPr>
        <w:t>五、其他要求</w:t>
      </w:r>
    </w:p>
    <w:p>
      <w:pPr>
        <w:spacing w:line="360" w:lineRule="auto"/>
        <w:ind w:firstLine="480"/>
        <w:rPr>
          <w:rFonts w:hint="default" w:ascii="仿宋" w:hAnsi="仿宋" w:eastAsia="仿宋" w:cs="仿宋"/>
          <w:bCs/>
          <w:sz w:val="24"/>
          <w:szCs w:val="24"/>
          <w:lang w:val="en-US" w:eastAsia="zh-CN"/>
        </w:rPr>
      </w:pPr>
      <w:r>
        <w:rPr>
          <w:rFonts w:hint="eastAsia" w:ascii="仿宋" w:hAnsi="仿宋" w:eastAsia="仿宋" w:cs="仿宋"/>
          <w:bCs/>
          <w:sz w:val="24"/>
          <w:szCs w:val="24"/>
        </w:rPr>
        <w:t>1、</w:t>
      </w:r>
      <w:r>
        <w:rPr>
          <w:rFonts w:hint="eastAsia" w:ascii="仿宋" w:hAnsi="仿宋" w:eastAsia="仿宋" w:cs="仿宋"/>
          <w:bCs/>
          <w:sz w:val="24"/>
          <w:szCs w:val="24"/>
          <w:lang w:val="en-US" w:eastAsia="zh-CN"/>
        </w:rPr>
        <w:t>交货时间：自签订合同之日起1个月内。</w:t>
      </w:r>
    </w:p>
    <w:p>
      <w:pPr>
        <w:spacing w:line="360" w:lineRule="auto"/>
        <w:ind w:firstLine="480"/>
        <w:rPr>
          <w:rFonts w:ascii="仿宋" w:hAnsi="仿宋" w:eastAsia="仿宋" w:cs="仿宋"/>
          <w:bCs/>
          <w:sz w:val="24"/>
          <w:szCs w:val="24"/>
        </w:rPr>
      </w:pPr>
      <w:r>
        <w:rPr>
          <w:rFonts w:hint="eastAsia" w:ascii="仿宋" w:hAnsi="仿宋" w:eastAsia="仿宋" w:cs="仿宋"/>
          <w:bCs/>
          <w:sz w:val="24"/>
          <w:szCs w:val="24"/>
          <w:lang w:val="en-US" w:eastAsia="zh-CN"/>
        </w:rPr>
        <w:t>2、</w:t>
      </w:r>
      <w:r>
        <w:rPr>
          <w:rFonts w:hint="eastAsia" w:ascii="仿宋" w:hAnsi="仿宋" w:eastAsia="仿宋" w:cs="仿宋"/>
          <w:bCs/>
          <w:sz w:val="24"/>
          <w:szCs w:val="24"/>
        </w:rPr>
        <w:t>质保：提供5年原厂7*24小时质保，提供硬盘不返还服务。</w:t>
      </w:r>
    </w:p>
    <w:p>
      <w:pPr>
        <w:spacing w:line="360" w:lineRule="auto"/>
        <w:ind w:firstLine="480"/>
        <w:rPr>
          <w:rFonts w:ascii="仿宋" w:hAnsi="仿宋" w:eastAsia="仿宋" w:cs="仿宋"/>
          <w:bCs/>
          <w:sz w:val="24"/>
          <w:szCs w:val="24"/>
        </w:rPr>
      </w:pPr>
      <w:r>
        <w:rPr>
          <w:rFonts w:hint="eastAsia" w:ascii="仿宋" w:hAnsi="仿宋" w:eastAsia="仿宋" w:cs="仿宋"/>
          <w:bCs/>
          <w:sz w:val="24"/>
          <w:szCs w:val="24"/>
          <w:lang w:val="en-US" w:eastAsia="zh-CN"/>
        </w:rPr>
        <w:t>3</w:t>
      </w:r>
      <w:r>
        <w:rPr>
          <w:rFonts w:hint="eastAsia" w:ascii="仿宋" w:hAnsi="仿宋" w:eastAsia="仿宋" w:cs="仿宋"/>
          <w:bCs/>
          <w:sz w:val="24"/>
          <w:szCs w:val="24"/>
        </w:rPr>
        <w:t>、付款方式：合同签订后首付50%合同款（因费用为全省分摊，付款可能有延迟），验收合格后支付剩余50%合同款（因费用为全省分摊，付款可能有延迟）。</w:t>
      </w:r>
    </w:p>
    <w:p>
      <w:pPr>
        <w:spacing w:line="360" w:lineRule="auto"/>
        <w:ind w:firstLine="480"/>
        <w:rPr>
          <w:rFonts w:ascii="仿宋" w:hAnsi="仿宋" w:eastAsia="仿宋" w:cs="仿宋"/>
          <w:bCs/>
          <w:sz w:val="24"/>
          <w:szCs w:val="24"/>
        </w:rPr>
      </w:pPr>
      <w:r>
        <w:rPr>
          <w:rFonts w:hint="eastAsia" w:ascii="仿宋" w:hAnsi="仿宋" w:eastAsia="仿宋" w:cs="仿宋"/>
          <w:bCs/>
          <w:sz w:val="24"/>
          <w:szCs w:val="24"/>
          <w:lang w:val="en-US" w:eastAsia="zh-CN"/>
        </w:rPr>
        <w:t>4</w:t>
      </w:r>
      <w:r>
        <w:rPr>
          <w:rFonts w:hint="eastAsia" w:ascii="仿宋" w:hAnsi="仿宋" w:eastAsia="仿宋" w:cs="仿宋"/>
          <w:bCs/>
          <w:sz w:val="24"/>
          <w:szCs w:val="24"/>
        </w:rPr>
        <w:t>、</w:t>
      </w:r>
      <w:r>
        <w:rPr>
          <w:rFonts w:hint="eastAsia" w:ascii="仿宋" w:hAnsi="仿宋" w:eastAsia="仿宋" w:cs="仿宋"/>
          <w:b/>
          <w:bCs/>
          <w:i/>
          <w:iCs/>
          <w:sz w:val="24"/>
          <w:szCs w:val="24"/>
          <w:u w:val="single" w:color="000000"/>
          <w:lang w:val="zh-CN"/>
        </w:rPr>
        <w:t>所有</w:t>
      </w:r>
      <w:r>
        <w:rPr>
          <w:rFonts w:hint="eastAsia" w:ascii="仿宋" w:hAnsi="仿宋" w:eastAsia="仿宋" w:cs="仿宋"/>
          <w:b/>
          <w:bCs/>
          <w:i/>
          <w:iCs/>
          <w:sz w:val="24"/>
          <w:szCs w:val="24"/>
          <w:u w:val="single" w:color="000000"/>
        </w:rPr>
        <w:t>供应商</w:t>
      </w:r>
      <w:r>
        <w:rPr>
          <w:rFonts w:hint="eastAsia" w:ascii="仿宋" w:hAnsi="仿宋" w:eastAsia="仿宋" w:cs="仿宋"/>
          <w:b/>
          <w:bCs/>
          <w:i/>
          <w:iCs/>
          <w:sz w:val="24"/>
          <w:szCs w:val="24"/>
          <w:u w:val="single" w:color="000000"/>
          <w:lang w:val="zh-CN"/>
        </w:rPr>
        <w:t>提供的报价、承诺事项及重要证明文件均须加盖公司公章。</w:t>
      </w:r>
    </w:p>
    <w:p>
      <w:pPr>
        <w:pStyle w:val="21"/>
        <w:pageBreakBefore/>
        <w:spacing w:after="312" w:line="360" w:lineRule="auto"/>
        <w:textAlignment w:val="baseline"/>
        <w:rPr>
          <w:rFonts w:ascii="仿宋" w:hAnsi="仿宋" w:eastAsia="仿宋" w:cs="仿宋"/>
          <w:color w:val="000000" w:themeColor="text1"/>
          <w:sz w:val="40"/>
          <w14:textFill>
            <w14:solidFill>
              <w14:schemeClr w14:val="tx1"/>
            </w14:solidFill>
          </w14:textFill>
        </w:rPr>
      </w:pPr>
      <w:r>
        <w:rPr>
          <w:rFonts w:hint="eastAsia" w:ascii="仿宋" w:hAnsi="仿宋" w:eastAsia="仿宋" w:cs="仿宋"/>
          <w:color w:val="000000" w:themeColor="text1"/>
          <w:sz w:val="40"/>
          <w14:textFill>
            <w14:solidFill>
              <w14:schemeClr w14:val="tx1"/>
            </w14:solidFill>
          </w14:textFill>
        </w:rPr>
        <w:t xml:space="preserve">   </w:t>
      </w:r>
      <w:bookmarkStart w:id="160" w:name="_Toc11736"/>
      <w:r>
        <w:rPr>
          <w:rFonts w:hint="eastAsia" w:ascii="仿宋" w:hAnsi="仿宋" w:eastAsia="仿宋" w:cs="仿宋"/>
          <w:color w:val="000000"/>
          <w:sz w:val="40"/>
        </w:rPr>
        <w:t>第五章  评审方法与评审标准</w:t>
      </w:r>
      <w:bookmarkEnd w:id="154"/>
      <w:bookmarkEnd w:id="160"/>
    </w:p>
    <w:bookmarkEnd w:id="152"/>
    <w:bookmarkEnd w:id="153"/>
    <w:bookmarkEnd w:id="155"/>
    <w:bookmarkEnd w:id="156"/>
    <w:bookmarkEnd w:id="157"/>
    <w:bookmarkEnd w:id="158"/>
    <w:bookmarkEnd w:id="159"/>
    <w:p>
      <w:pPr>
        <w:pStyle w:val="22"/>
        <w:numPr>
          <w:ilvl w:val="255"/>
          <w:numId w:val="0"/>
        </w:numPr>
        <w:spacing w:line="360" w:lineRule="auto"/>
        <w:rPr>
          <w:rFonts w:ascii="仿宋" w:hAnsi="仿宋" w:eastAsia="仿宋" w:cs="仿宋"/>
          <w:snapToGrid w:val="0"/>
          <w:color w:val="000000" w:themeColor="text1"/>
          <w:kern w:val="0"/>
          <w14:textFill>
            <w14:solidFill>
              <w14:schemeClr w14:val="tx1"/>
            </w14:solidFill>
          </w14:textFill>
        </w:rPr>
      </w:pPr>
      <w:bookmarkStart w:id="161" w:name="_Toc28964"/>
      <w:bookmarkStart w:id="162" w:name="_Toc32698"/>
      <w:bookmarkStart w:id="163" w:name="_Toc13849"/>
      <w:bookmarkStart w:id="164" w:name="_Toc30940"/>
      <w:bookmarkStart w:id="165" w:name="_Toc18737"/>
      <w:bookmarkStart w:id="166" w:name="_Toc30519"/>
      <w:bookmarkStart w:id="167" w:name="_Toc24009"/>
      <w:bookmarkStart w:id="168" w:name="_Toc518"/>
      <w:bookmarkStart w:id="169" w:name="_Toc27586"/>
      <w:bookmarkStart w:id="170" w:name="_Toc23395"/>
      <w:bookmarkStart w:id="171" w:name="_Toc2852"/>
      <w:bookmarkStart w:id="172" w:name="_Toc11610"/>
      <w:bookmarkStart w:id="173" w:name="_Toc12716_WPSOffice_Level2"/>
      <w:bookmarkStart w:id="174" w:name="_Toc5350"/>
      <w:bookmarkStart w:id="175" w:name="_Toc3128"/>
      <w:bookmarkStart w:id="176" w:name="_Toc11814"/>
      <w:bookmarkStart w:id="177" w:name="_Toc273"/>
      <w:bookmarkStart w:id="178" w:name="_Toc25170484"/>
      <w:bookmarkStart w:id="179" w:name="_Toc5358"/>
      <w:bookmarkStart w:id="180" w:name="_Toc3274"/>
      <w:bookmarkStart w:id="181" w:name="_Toc8457"/>
      <w:bookmarkStart w:id="182" w:name="_Toc324237157"/>
      <w:r>
        <w:rPr>
          <w:rFonts w:hint="eastAsia" w:ascii="仿宋" w:hAnsi="仿宋" w:eastAsia="仿宋" w:cs="仿宋"/>
          <w:snapToGrid w:val="0"/>
          <w:color w:val="000000" w:themeColor="text1"/>
          <w:kern w:val="0"/>
          <w14:textFill>
            <w14:solidFill>
              <w14:schemeClr w14:val="tx1"/>
            </w14:solidFill>
          </w14:textFill>
        </w:rPr>
        <w:t>一、评审方法与评审原则</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pStyle w:val="14"/>
        <w:spacing w:line="360" w:lineRule="auto"/>
        <w:ind w:firstLine="480"/>
        <w:rPr>
          <w:color w:val="000000" w:themeColor="text1"/>
          <w14:textFill>
            <w14:solidFill>
              <w14:schemeClr w14:val="tx1"/>
            </w14:solidFill>
          </w14:textFill>
        </w:rPr>
      </w:pPr>
      <w:bookmarkStart w:id="183" w:name="_Toc12196"/>
      <w:bookmarkStart w:id="184" w:name="_Toc18177"/>
      <w:bookmarkStart w:id="185" w:name="_Toc24013"/>
      <w:bookmarkStart w:id="186" w:name="_Toc7630"/>
      <w:bookmarkStart w:id="187" w:name="_Toc1171"/>
      <w:bookmarkStart w:id="188" w:name="_Toc21264"/>
      <w:bookmarkStart w:id="189" w:name="_Toc10020_WPSOffice_Level2"/>
      <w:bookmarkStart w:id="190" w:name="_Toc10987"/>
      <w:bookmarkStart w:id="191" w:name="_Toc28718"/>
      <w:bookmarkStart w:id="192" w:name="_Toc27122"/>
      <w:bookmarkStart w:id="193" w:name="_Toc2924"/>
      <w:bookmarkStart w:id="194" w:name="_Toc23769"/>
      <w:bookmarkStart w:id="195" w:name="_Toc26332"/>
      <w:bookmarkStart w:id="196" w:name="_Toc22546"/>
      <w:r>
        <w:rPr>
          <w:rFonts w:hint="eastAsia" w:ascii="仿宋" w:hAnsi="仿宋" w:eastAsia="仿宋" w:cs="仿宋"/>
          <w:color w:val="000000" w:themeColor="text1"/>
          <w:sz w:val="24"/>
          <w:szCs w:val="24"/>
          <w:lang w:val="zh-CN"/>
          <w14:textFill>
            <w14:solidFill>
              <w14:schemeClr w14:val="tx1"/>
            </w14:solidFill>
          </w14:textFill>
        </w:rPr>
        <w:t>磋商小组将对确定为实质性响应采购文件要求的响应文件进行评价和比较，评审采用综合评分法，评审结果按评审后得分由高到低顺序排列。得分相同的，按磋商</w:t>
      </w:r>
      <w:r>
        <w:rPr>
          <w:rFonts w:hint="eastAsia" w:ascii="仿宋" w:hAnsi="仿宋" w:eastAsia="仿宋" w:cs="仿宋"/>
          <w:color w:val="000000" w:themeColor="text1"/>
          <w:sz w:val="24"/>
          <w:szCs w:val="24"/>
          <w14:textFill>
            <w14:solidFill>
              <w14:schemeClr w14:val="tx1"/>
            </w14:solidFill>
          </w14:textFill>
        </w:rPr>
        <w:t>最终</w:t>
      </w:r>
      <w:r>
        <w:rPr>
          <w:rFonts w:hint="eastAsia" w:ascii="仿宋" w:hAnsi="仿宋" w:eastAsia="仿宋" w:cs="仿宋"/>
          <w:color w:val="000000" w:themeColor="text1"/>
          <w:sz w:val="24"/>
          <w:szCs w:val="24"/>
          <w:lang w:val="zh-CN"/>
          <w14:textFill>
            <w14:solidFill>
              <w14:schemeClr w14:val="tx1"/>
            </w14:solidFill>
          </w14:textFill>
        </w:rPr>
        <w:t>报价由低到高顺序排列。得分且磋商</w:t>
      </w:r>
      <w:r>
        <w:rPr>
          <w:rFonts w:hint="eastAsia" w:ascii="仿宋" w:hAnsi="仿宋" w:eastAsia="仿宋" w:cs="仿宋"/>
          <w:color w:val="000000" w:themeColor="text1"/>
          <w:sz w:val="24"/>
          <w:szCs w:val="24"/>
          <w14:textFill>
            <w14:solidFill>
              <w14:schemeClr w14:val="tx1"/>
            </w14:solidFill>
          </w14:textFill>
        </w:rPr>
        <w:t>最终</w:t>
      </w:r>
      <w:r>
        <w:rPr>
          <w:rFonts w:hint="eastAsia" w:ascii="仿宋" w:hAnsi="仿宋" w:eastAsia="仿宋" w:cs="仿宋"/>
          <w:color w:val="000000" w:themeColor="text1"/>
          <w:sz w:val="24"/>
          <w:szCs w:val="24"/>
          <w:lang w:val="zh-CN"/>
          <w14:textFill>
            <w14:solidFill>
              <w14:schemeClr w14:val="tx1"/>
            </w14:solidFill>
          </w14:textFill>
        </w:rPr>
        <w:t>报价</w:t>
      </w:r>
      <w:r>
        <w:rPr>
          <w:rFonts w:hint="eastAsia" w:ascii="仿宋" w:hAnsi="仿宋" w:eastAsia="仿宋" w:cs="仿宋"/>
          <w:color w:val="000000" w:themeColor="text1"/>
          <w:sz w:val="24"/>
          <w:szCs w:val="24"/>
          <w14:textFill>
            <w14:solidFill>
              <w14:schemeClr w14:val="tx1"/>
            </w14:solidFill>
          </w14:textFill>
        </w:rPr>
        <w:t>均</w:t>
      </w:r>
      <w:r>
        <w:rPr>
          <w:rFonts w:hint="eastAsia" w:ascii="仿宋" w:hAnsi="仿宋" w:eastAsia="仿宋" w:cs="仿宋"/>
          <w:color w:val="000000" w:themeColor="text1"/>
          <w:sz w:val="24"/>
          <w:szCs w:val="24"/>
          <w:lang w:val="zh-CN"/>
          <w14:textFill>
            <w14:solidFill>
              <w14:schemeClr w14:val="tx1"/>
            </w14:solidFill>
          </w14:textFill>
        </w:rPr>
        <w:t>相同的</w:t>
      </w:r>
      <w:r>
        <w:rPr>
          <w:rFonts w:hint="eastAsia" w:ascii="仿宋" w:hAnsi="仿宋" w:eastAsia="仿宋" w:cs="仿宋"/>
          <w:color w:val="000000" w:themeColor="text1"/>
          <w:sz w:val="24"/>
          <w:szCs w:val="24"/>
          <w14:textFill>
            <w14:solidFill>
              <w14:schemeClr w14:val="tx1"/>
            </w14:solidFill>
          </w14:textFill>
        </w:rPr>
        <w:t>按服务方案分由高到低顺序排列</w:t>
      </w:r>
      <w:r>
        <w:rPr>
          <w:rFonts w:hint="eastAsia" w:ascii="仿宋" w:hAnsi="仿宋" w:eastAsia="仿宋" w:cs="仿宋"/>
          <w:color w:val="000000" w:themeColor="text1"/>
          <w:sz w:val="24"/>
          <w:szCs w:val="24"/>
          <w:lang w:val="zh-CN"/>
          <w14:textFill>
            <w14:solidFill>
              <w14:schemeClr w14:val="tx1"/>
            </w14:solidFill>
          </w14:textFill>
        </w:rPr>
        <w:t>。响应文件满足磋商文件全部实质性要求，且按照评审因素的量化指标评审得分由高到低按顺序推荐三</w:t>
      </w:r>
      <w:r>
        <w:rPr>
          <w:rFonts w:ascii="仿宋" w:hAnsi="仿宋" w:eastAsia="仿宋" w:cs="仿宋"/>
          <w:color w:val="000000" w:themeColor="text1"/>
          <w:sz w:val="24"/>
          <w:szCs w:val="24"/>
          <w:lang w:val="zh-CN"/>
          <w14:textFill>
            <w14:solidFill>
              <w14:schemeClr w14:val="tx1"/>
            </w14:solidFill>
          </w14:textFill>
        </w:rPr>
        <w:t>名成交候选人，</w:t>
      </w:r>
      <w:r>
        <w:rPr>
          <w:rFonts w:hint="eastAsia" w:ascii="仿宋" w:hAnsi="仿宋" w:eastAsia="仿宋" w:cs="仿宋"/>
          <w:color w:val="000000" w:themeColor="text1"/>
          <w:sz w:val="24"/>
          <w:szCs w:val="24"/>
          <w:lang w:val="zh-CN"/>
          <w14:textFill>
            <w14:solidFill>
              <w14:schemeClr w14:val="tx1"/>
            </w14:solidFill>
          </w14:textFill>
        </w:rPr>
        <w:t>由</w:t>
      </w:r>
      <w:r>
        <w:rPr>
          <w:rFonts w:hint="eastAsia" w:ascii="仿宋" w:hAnsi="仿宋" w:eastAsia="仿宋" w:cs="仿宋"/>
          <w:color w:val="000000" w:themeColor="text1"/>
          <w:sz w:val="24"/>
          <w:szCs w:val="24"/>
          <w14:textFill>
            <w14:solidFill>
              <w14:schemeClr w14:val="tx1"/>
            </w14:solidFill>
          </w14:textFill>
        </w:rPr>
        <w:t>采购人在推荐的成交候选供应商名单中按顺序确定一名成交供应商。</w:t>
      </w:r>
      <w:r>
        <w:rPr>
          <w:rFonts w:hint="eastAsia" w:ascii="仿宋" w:hAnsi="仿宋" w:eastAsia="仿宋" w:cs="仿宋"/>
          <w:color w:val="000000" w:themeColor="text1"/>
          <w:sz w:val="24"/>
          <w:szCs w:val="24"/>
          <w:lang w:val="zh-CN"/>
          <w14:textFill>
            <w14:solidFill>
              <w14:schemeClr w14:val="tx1"/>
            </w14:solidFill>
          </w14:textFill>
        </w:rPr>
        <w:t>具体打分办法如下：</w:t>
      </w:r>
    </w:p>
    <w:p>
      <w:pPr>
        <w:pStyle w:val="22"/>
        <w:numPr>
          <w:ilvl w:val="255"/>
          <w:numId w:val="0"/>
        </w:numPr>
        <w:spacing w:line="360" w:lineRule="auto"/>
      </w:pPr>
      <w:bookmarkStart w:id="197" w:name="_Toc6487"/>
      <w:bookmarkStart w:id="198" w:name="_Toc11960"/>
      <w:bookmarkStart w:id="199" w:name="_Toc8229"/>
      <w:r>
        <w:rPr>
          <w:rFonts w:hint="eastAsia" w:ascii="仿宋" w:hAnsi="仿宋" w:eastAsia="仿宋" w:cs="仿宋"/>
          <w:snapToGrid w:val="0"/>
          <w:color w:val="000000" w:themeColor="text1"/>
          <w:kern w:val="0"/>
          <w14:textFill>
            <w14:solidFill>
              <w14:schemeClr w14:val="tx1"/>
            </w14:solidFill>
          </w14:textFill>
        </w:rPr>
        <w:t>二、评审标准</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r>
        <w:rPr>
          <w:rFonts w:hint="eastAsia" w:ascii="仿宋" w:hAnsi="仿宋" w:eastAsia="仿宋" w:cs="仿宋"/>
          <w:snapToGrid w:val="0"/>
          <w:color w:val="000000" w:themeColor="text1"/>
          <w:kern w:val="0"/>
          <w14:textFill>
            <w14:solidFill>
              <w14:schemeClr w14:val="tx1"/>
            </w14:solidFill>
          </w14:textFill>
        </w:rPr>
        <w:tab/>
      </w:r>
      <w:bookmarkStart w:id="200" w:name="_Hlk150275894"/>
    </w:p>
    <w:bookmarkEnd w:id="200"/>
    <w:tbl>
      <w:tblPr>
        <w:tblStyle w:val="23"/>
        <w:tblW w:w="9546" w:type="dxa"/>
        <w:tblInd w:w="1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85"/>
        <w:gridCol w:w="7591"/>
        <w:gridCol w:w="87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2" w:hRule="atLeast"/>
        </w:trPr>
        <w:tc>
          <w:tcPr>
            <w:tcW w:w="1085" w:type="dxa"/>
            <w:vAlign w:val="center"/>
          </w:tcPr>
          <w:p>
            <w:pPr>
              <w:jc w:val="center"/>
              <w:rPr>
                <w:rFonts w:ascii="仿宋" w:hAnsi="仿宋" w:eastAsia="仿宋" w:cs="仿宋"/>
                <w:sz w:val="24"/>
                <w:szCs w:val="24"/>
              </w:rPr>
            </w:pPr>
            <w:r>
              <w:rPr>
                <w:rFonts w:hint="eastAsia" w:ascii="仿宋" w:hAnsi="仿宋" w:eastAsia="仿宋" w:cs="仿宋"/>
                <w:b/>
                <w:sz w:val="24"/>
                <w:szCs w:val="24"/>
              </w:rPr>
              <w:t>名称</w:t>
            </w:r>
          </w:p>
        </w:tc>
        <w:tc>
          <w:tcPr>
            <w:tcW w:w="7591" w:type="dxa"/>
            <w:vAlign w:val="center"/>
          </w:tcPr>
          <w:p>
            <w:pPr>
              <w:jc w:val="center"/>
              <w:rPr>
                <w:rFonts w:ascii="仿宋" w:hAnsi="仿宋" w:eastAsia="仿宋" w:cs="仿宋"/>
                <w:sz w:val="24"/>
                <w:szCs w:val="24"/>
              </w:rPr>
            </w:pPr>
            <w:r>
              <w:rPr>
                <w:rFonts w:hint="eastAsia" w:ascii="仿宋" w:hAnsi="仿宋" w:eastAsia="仿宋" w:cs="仿宋"/>
                <w:b/>
                <w:sz w:val="24"/>
                <w:szCs w:val="24"/>
              </w:rPr>
              <w:t>评分标准</w:t>
            </w:r>
          </w:p>
        </w:tc>
        <w:tc>
          <w:tcPr>
            <w:tcW w:w="870" w:type="dxa"/>
            <w:vAlign w:val="center"/>
          </w:tcPr>
          <w:p>
            <w:pPr>
              <w:jc w:val="center"/>
              <w:rPr>
                <w:rFonts w:ascii="仿宋" w:hAnsi="仿宋" w:eastAsia="仿宋" w:cs="仿宋"/>
                <w:sz w:val="24"/>
                <w:szCs w:val="24"/>
              </w:rPr>
            </w:pPr>
            <w:r>
              <w:rPr>
                <w:rFonts w:hint="eastAsia" w:ascii="仿宋" w:hAnsi="仿宋" w:eastAsia="仿宋" w:cs="仿宋"/>
                <w:b/>
                <w:sz w:val="24"/>
                <w:szCs w:val="24"/>
              </w:rPr>
              <w:t>分值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12" w:hRule="atLeast"/>
        </w:trPr>
        <w:tc>
          <w:tcPr>
            <w:tcW w:w="1085" w:type="dxa"/>
          </w:tcPr>
          <w:p>
            <w:pPr>
              <w:spacing w:line="360" w:lineRule="auto"/>
              <w:rPr>
                <w:rFonts w:ascii="仿宋" w:hAnsi="仿宋" w:eastAsia="仿宋" w:cs="仿宋"/>
                <w:sz w:val="24"/>
                <w:szCs w:val="24"/>
              </w:rPr>
            </w:pPr>
          </w:p>
          <w:p>
            <w:pPr>
              <w:spacing w:line="360" w:lineRule="auto"/>
              <w:ind w:firstLine="240" w:firstLineChars="100"/>
              <w:rPr>
                <w:rFonts w:ascii="仿宋" w:hAnsi="仿宋" w:eastAsia="仿宋" w:cs="仿宋"/>
                <w:sz w:val="24"/>
                <w:szCs w:val="24"/>
              </w:rPr>
            </w:pPr>
            <w:r>
              <w:rPr>
                <w:rFonts w:hint="eastAsia" w:ascii="仿宋" w:hAnsi="仿宋" w:eastAsia="仿宋" w:cs="仿宋"/>
                <w:sz w:val="24"/>
                <w:szCs w:val="24"/>
              </w:rPr>
              <w:t>价格</w:t>
            </w:r>
          </w:p>
          <w:p>
            <w:pPr>
              <w:pStyle w:val="19"/>
            </w:pPr>
          </w:p>
        </w:tc>
        <w:tc>
          <w:tcPr>
            <w:tcW w:w="7591" w:type="dxa"/>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采用低价优先法计算，即满足采购文件要求且投标价格最低的投标报价为评标基准价 ，其价格分为满分。 其他供应商的价格分统一按照下列公式计算:投标报价得分=(评标基准价/投标报价)×10.00。</w:t>
            </w:r>
          </w:p>
        </w:tc>
        <w:tc>
          <w:tcPr>
            <w:tcW w:w="870" w:type="dxa"/>
          </w:tcPr>
          <w:p>
            <w:pPr>
              <w:spacing w:line="360" w:lineRule="auto"/>
              <w:jc w:val="center"/>
              <w:rPr>
                <w:rFonts w:ascii="仿宋" w:hAnsi="仿宋" w:eastAsia="仿宋" w:cs="仿宋"/>
                <w:sz w:val="24"/>
                <w:szCs w:val="24"/>
              </w:rPr>
            </w:pPr>
          </w:p>
          <w:p>
            <w:pPr>
              <w:spacing w:line="360" w:lineRule="auto"/>
              <w:jc w:val="center"/>
              <w:rPr>
                <w:rFonts w:ascii="仿宋" w:hAnsi="仿宋" w:eastAsia="仿宋" w:cs="仿宋"/>
                <w:sz w:val="24"/>
                <w:szCs w:val="24"/>
              </w:rPr>
            </w:pPr>
            <w:r>
              <w:rPr>
                <w:rFonts w:hint="eastAsia" w:ascii="仿宋" w:hAnsi="仿宋" w:eastAsia="仿宋" w:cs="仿宋"/>
                <w:sz w:val="24"/>
                <w:szCs w:val="24"/>
              </w:rPr>
              <w:t>10分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70" w:hRule="atLeast"/>
        </w:trPr>
        <w:tc>
          <w:tcPr>
            <w:tcW w:w="1085" w:type="dxa"/>
          </w:tcPr>
          <w:p>
            <w:pPr>
              <w:spacing w:line="360" w:lineRule="auto"/>
              <w:ind w:firstLine="240" w:firstLineChars="100"/>
              <w:rPr>
                <w:rFonts w:ascii="仿宋" w:hAnsi="仿宋" w:eastAsia="仿宋" w:cs="仿宋"/>
                <w:sz w:val="24"/>
                <w:szCs w:val="24"/>
              </w:rPr>
            </w:pPr>
          </w:p>
          <w:p>
            <w:pPr>
              <w:spacing w:line="360" w:lineRule="auto"/>
              <w:jc w:val="center"/>
              <w:rPr>
                <w:rFonts w:ascii="仿宋" w:hAnsi="仿宋" w:eastAsia="仿宋" w:cs="仿宋"/>
                <w:sz w:val="24"/>
                <w:szCs w:val="24"/>
              </w:rPr>
            </w:pPr>
            <w:r>
              <w:rPr>
                <w:rFonts w:hint="eastAsia" w:ascii="仿宋" w:hAnsi="仿宋" w:eastAsia="仿宋" w:cs="仿宋"/>
                <w:sz w:val="24"/>
                <w:szCs w:val="24"/>
              </w:rPr>
              <w:t>技术参数要求</w:t>
            </w:r>
          </w:p>
        </w:tc>
        <w:tc>
          <w:tcPr>
            <w:tcW w:w="7591" w:type="dxa"/>
            <w:vAlign w:val="center"/>
          </w:tcPr>
          <w:p>
            <w:pPr>
              <w:spacing w:line="360" w:lineRule="auto"/>
              <w:ind w:firstLine="480" w:firstLineChars="200"/>
              <w:rPr>
                <w:rFonts w:ascii="仿宋" w:hAnsi="仿宋" w:eastAsia="仿宋" w:cs="仿宋"/>
                <w:kern w:val="0"/>
                <w:sz w:val="24"/>
                <w:szCs w:val="24"/>
              </w:rPr>
            </w:pPr>
            <w:r>
              <w:rPr>
                <w:rFonts w:hint="eastAsia" w:ascii="仿宋" w:hAnsi="仿宋" w:eastAsia="仿宋" w:cs="仿宋"/>
                <w:sz w:val="24"/>
              </w:rPr>
              <w:t>供应商产品对采购文件具体需求的响应程度：全部响应即满足采购文件主要的技术指标要求的得35分，加“★”项为实质性要求必须满足指标；加“▲”项为重要指标，有负偏离的每项减3分，其他项有负偏离的每项减1分，扣完为止。（供应商需如实填写所投产品参数，并按采购文件要求提供相应证明材料并在偏离表中标明所在页码；完全复制采购文件参数而又无相关资料证实的，评审委员会有权做负偏离处理）。</w:t>
            </w:r>
          </w:p>
        </w:tc>
        <w:tc>
          <w:tcPr>
            <w:tcW w:w="870" w:type="dxa"/>
          </w:tcPr>
          <w:p>
            <w:pPr>
              <w:spacing w:line="360" w:lineRule="auto"/>
              <w:jc w:val="center"/>
              <w:rPr>
                <w:rFonts w:ascii="仿宋" w:hAnsi="仿宋" w:eastAsia="仿宋" w:cs="仿宋"/>
                <w:sz w:val="24"/>
                <w:szCs w:val="24"/>
              </w:rPr>
            </w:pPr>
          </w:p>
          <w:p>
            <w:pPr>
              <w:spacing w:line="360" w:lineRule="auto"/>
              <w:jc w:val="center"/>
              <w:rPr>
                <w:rFonts w:ascii="仿宋" w:hAnsi="仿宋" w:eastAsia="仿宋" w:cs="仿宋"/>
                <w:sz w:val="24"/>
                <w:szCs w:val="24"/>
              </w:rPr>
            </w:pPr>
          </w:p>
          <w:p>
            <w:pPr>
              <w:spacing w:line="360" w:lineRule="auto"/>
              <w:jc w:val="center"/>
              <w:rPr>
                <w:rFonts w:ascii="仿宋" w:hAnsi="仿宋" w:eastAsia="仿宋" w:cs="仿宋"/>
                <w:sz w:val="24"/>
                <w:szCs w:val="24"/>
              </w:rPr>
            </w:pPr>
            <w:r>
              <w:rPr>
                <w:rFonts w:hint="eastAsia" w:ascii="仿宋" w:hAnsi="仿宋" w:eastAsia="仿宋" w:cs="仿宋"/>
                <w:sz w:val="24"/>
                <w:szCs w:val="24"/>
              </w:rPr>
              <w:t>35分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trPr>
        <w:tc>
          <w:tcPr>
            <w:tcW w:w="1085"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项目实施方案</w:t>
            </w:r>
          </w:p>
        </w:tc>
        <w:tc>
          <w:tcPr>
            <w:tcW w:w="7591" w:type="dxa"/>
            <w:vAlign w:val="center"/>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应根据采购文件及本项目特点，提供项目实施方案，方案科学合理、完整、切实可行的得10分。方案完整但科学合理及可行性欠缺的得7分；方案不完整且科学合理及可行性欠缺的得4分；其他或未提供的不得分。</w:t>
            </w:r>
          </w:p>
        </w:tc>
        <w:tc>
          <w:tcPr>
            <w:tcW w:w="870" w:type="dxa"/>
          </w:tcPr>
          <w:p>
            <w:pPr>
              <w:spacing w:line="360" w:lineRule="auto"/>
              <w:jc w:val="center"/>
              <w:rPr>
                <w:rFonts w:ascii="仿宋" w:hAnsi="仿宋" w:eastAsia="仿宋" w:cs="仿宋"/>
                <w:sz w:val="24"/>
                <w:szCs w:val="24"/>
              </w:rPr>
            </w:pPr>
          </w:p>
          <w:p>
            <w:pPr>
              <w:spacing w:line="360" w:lineRule="auto"/>
              <w:jc w:val="center"/>
              <w:rPr>
                <w:rFonts w:ascii="仿宋" w:hAnsi="仿宋" w:eastAsia="仿宋" w:cs="仿宋"/>
                <w:sz w:val="24"/>
                <w:szCs w:val="24"/>
              </w:rPr>
            </w:pPr>
            <w:r>
              <w:rPr>
                <w:rFonts w:hint="eastAsia" w:ascii="仿宋" w:hAnsi="仿宋" w:eastAsia="仿宋" w:cs="仿宋"/>
                <w:sz w:val="24"/>
                <w:szCs w:val="24"/>
              </w:rPr>
              <w:t>10分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9" w:hRule="atLeast"/>
        </w:trPr>
        <w:tc>
          <w:tcPr>
            <w:tcW w:w="1085"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安装调试计划方案</w:t>
            </w:r>
          </w:p>
        </w:tc>
        <w:tc>
          <w:tcPr>
            <w:tcW w:w="7591" w:type="dxa"/>
            <w:vAlign w:val="center"/>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应根据采购文件及本项目特点，提供项目安装调试计划方案，包含供货计划、设备安装计划安排等。方案科学合理、完整、切实可行的得10分。方案完整但科学合理及可行性欠缺的得7分；方案不完整且科学合理及可行性欠缺的得4分；其他或未提供的不得分。</w:t>
            </w:r>
          </w:p>
        </w:tc>
        <w:tc>
          <w:tcPr>
            <w:tcW w:w="870"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10分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6" w:hRule="atLeast"/>
        </w:trPr>
        <w:tc>
          <w:tcPr>
            <w:tcW w:w="1085"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售后服务方案</w:t>
            </w:r>
          </w:p>
        </w:tc>
        <w:tc>
          <w:tcPr>
            <w:tcW w:w="7591" w:type="dxa"/>
            <w:vAlign w:val="center"/>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响应采购文件质保维保服务要求，并针对本次项目提供供应商自身及所投品牌原厂响应标准、备件体系、故障解决方案、专业技术人员保障等服务内容。方案科学合理、完整、切实可行的得10分。方案完整但科学合理及可行性欠缺的得7分；方案不完整且科学合理及可行性欠缺的得4分；其他或未提供的不得分。</w:t>
            </w:r>
          </w:p>
        </w:tc>
        <w:tc>
          <w:tcPr>
            <w:tcW w:w="870"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10分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085"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成功案例</w:t>
            </w:r>
          </w:p>
        </w:tc>
        <w:tc>
          <w:tcPr>
            <w:tcW w:w="7591" w:type="dxa"/>
            <w:vAlign w:val="center"/>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供应商2020年</w:t>
            </w:r>
            <w:r>
              <w:rPr>
                <w:rFonts w:hint="eastAsia" w:ascii="仿宋" w:hAnsi="仿宋" w:eastAsia="仿宋" w:cs="仿宋"/>
                <w:sz w:val="24"/>
                <w:szCs w:val="24"/>
                <w:lang w:val="en-US" w:eastAsia="zh-CN"/>
              </w:rPr>
              <w:t>1月1日</w:t>
            </w:r>
            <w:r>
              <w:rPr>
                <w:rFonts w:hint="eastAsia" w:ascii="仿宋" w:hAnsi="仿宋" w:eastAsia="仿宋" w:cs="仿宋"/>
                <w:sz w:val="24"/>
                <w:szCs w:val="24"/>
              </w:rPr>
              <w:t>至2023年</w:t>
            </w:r>
            <w:r>
              <w:rPr>
                <w:rFonts w:hint="eastAsia" w:ascii="仿宋" w:hAnsi="仿宋" w:eastAsia="仿宋" w:cs="仿宋"/>
                <w:sz w:val="24"/>
                <w:szCs w:val="24"/>
                <w:lang w:val="en-US" w:eastAsia="zh-CN"/>
              </w:rPr>
              <w:t>10月31日</w:t>
            </w:r>
            <w:r>
              <w:rPr>
                <w:rFonts w:hint="eastAsia" w:ascii="仿宋" w:hAnsi="仿宋" w:eastAsia="仿宋" w:cs="仿宋"/>
                <w:sz w:val="24"/>
                <w:szCs w:val="24"/>
              </w:rPr>
              <w:t>完成的合同设备清单中含有存储设备类似的项目业绩，每提供一个得2分，最多得10分（须提供项目合同复印件</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以合同签订日期为准</w:t>
            </w:r>
            <w:r>
              <w:rPr>
                <w:rFonts w:hint="eastAsia" w:ascii="仿宋" w:hAnsi="仿宋" w:eastAsia="仿宋" w:cs="仿宋"/>
                <w:sz w:val="24"/>
                <w:szCs w:val="24"/>
              </w:rPr>
              <w:t>）。</w:t>
            </w:r>
          </w:p>
        </w:tc>
        <w:tc>
          <w:tcPr>
            <w:tcW w:w="870"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10分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9" w:hRule="atLeast"/>
        </w:trPr>
        <w:tc>
          <w:tcPr>
            <w:tcW w:w="1085" w:type="dxa"/>
            <w:tcBorders>
              <w:bottom w:val="single" w:color="auto" w:sz="4" w:space="0"/>
            </w:tcBorders>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项目实施团队</w:t>
            </w:r>
          </w:p>
        </w:tc>
        <w:tc>
          <w:tcPr>
            <w:tcW w:w="7591" w:type="dxa"/>
            <w:tcBorders>
              <w:bottom w:val="single" w:color="auto" w:sz="4" w:space="0"/>
            </w:tcBorders>
            <w:vAlign w:val="center"/>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项目组的其他成员，具有网络工程师证书，每提供一种证书得3分，满分9分。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以上需提供证书扫描件以及供应商为相关人员在距离响应文件递交截止时间前3个月内任意一个月缴纳社保的证明文件扫描件，否则不得分，1人多证的只计算1个证书。</w:t>
            </w:r>
          </w:p>
        </w:tc>
        <w:tc>
          <w:tcPr>
            <w:tcW w:w="870"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9分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85" w:type="dxa"/>
            <w:tcBorders>
              <w:top w:val="single" w:color="auto" w:sz="4" w:space="0"/>
            </w:tcBorders>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产品制造厂商履约能力</w:t>
            </w:r>
          </w:p>
        </w:tc>
        <w:tc>
          <w:tcPr>
            <w:tcW w:w="7591" w:type="dxa"/>
            <w:tcBorders>
              <w:top w:val="single" w:color="auto" w:sz="4" w:space="0"/>
            </w:tcBorders>
            <w:vAlign w:val="center"/>
          </w:tcPr>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产品制造厂商具备以下资质证书：</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1、通过ISO22301业务连续性管理体系认证(认证覆盖的业务范围包括本次投标产品) ，提供证书复印件；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2、具备科学、系统的知识产权管理体系，具备自主研发及技术创新能力，通过知识产权管理体系认证，提供证书复印件；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3、为保障提供的产品经过严格测试，具备高可靠性，制造厂商获得中国质量认证中心CCC现场检测实验室认证，提供证书复印件；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4、通过中国电子工业标准化技术协会推出的信息技术服务运行维护服务能力服务认证（ITSS），提供证书复印件；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5、通过中国通信企业协会网络安全应急响应服务能力评定（网络安全风险评估），提供证书复印件；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6、通过信息系统安全运维服务认证，提供证书复印件；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以上每项资质每提供1项得1分，不提供不得分。</w:t>
            </w:r>
          </w:p>
        </w:tc>
        <w:tc>
          <w:tcPr>
            <w:tcW w:w="870" w:type="dxa"/>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6分</w:t>
            </w:r>
          </w:p>
        </w:tc>
      </w:tr>
    </w:tbl>
    <w:p>
      <w:pPr>
        <w:spacing w:line="0" w:lineRule="atLeast"/>
        <w:rPr>
          <w:rFonts w:ascii="仿宋" w:hAnsi="仿宋" w:eastAsia="仿宋" w:cs="仿宋"/>
          <w:color w:val="000000" w:themeColor="text1"/>
          <w14:textFill>
            <w14:solidFill>
              <w14:schemeClr w14:val="tx1"/>
            </w14:solidFill>
          </w14:textFill>
        </w:rPr>
      </w:pPr>
    </w:p>
    <w:p>
      <w:pPr>
        <w:snapToGrid w:val="0"/>
        <w:spacing w:line="360" w:lineRule="auto"/>
        <w:ind w:firstLine="422" w:firstLineChars="200"/>
        <w:textAlignment w:val="baseline"/>
        <w:rPr>
          <w:rFonts w:ascii="仿宋" w:hAnsi="仿宋" w:eastAsia="仿宋" w:cs="仿宋"/>
          <w:b/>
          <w:bCs/>
          <w:color w:val="000000" w:themeColor="text1"/>
          <w14:textFill>
            <w14:solidFill>
              <w14:schemeClr w14:val="tx1"/>
            </w14:solidFill>
          </w14:textFill>
        </w:rPr>
      </w:pPr>
      <w:bookmarkStart w:id="201" w:name="_Toc7355"/>
      <w:bookmarkStart w:id="202" w:name="_Toc1129"/>
      <w:r>
        <w:rPr>
          <w:rFonts w:hint="eastAsia" w:ascii="仿宋" w:hAnsi="仿宋" w:eastAsia="仿宋" w:cs="仿宋"/>
          <w:b/>
          <w:bCs/>
          <w:color w:val="000000" w:themeColor="text1"/>
          <w14:textFill>
            <w14:solidFill>
              <w14:schemeClr w14:val="tx1"/>
            </w14:solidFill>
          </w14:textFill>
        </w:rPr>
        <w:t>说明：</w:t>
      </w:r>
      <w:bookmarkEnd w:id="201"/>
      <w:bookmarkEnd w:id="202"/>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（一）对于专门面向中小企业或小型、微型企业的项目，只面向中小企业或小型、微型企业采购。对于非专门面向中小企业的项目，对小型和微型企业产品的价格给予10%的扣除，用扣除后的价格参与评审。</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供应商提供的货物、工程或者服务符合下列情形的，享受本办法规定的中小企业扶持政策：</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（1）在货物采购项目中，货物由中小企业制造，即货物由中小企业生产且使用该中小企业商号或者注册商标；</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（2）在工程采购项目中，工程由中小企业承建，即工程施工单位为中小企业；</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（3）在服务采购项目中，服务由中小企业承接，即提供服务的人员为中小企业依照《中华人民共和国劳动合同法》订立劳动合同的从业人员。</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在货物采购项目中，供应商提供的货物既有中小企业制造货物，也有大型企业制造货物的，不享受本办法规定的中小企业扶持政策。</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以联合体形式参加政府采购活动，联合体各方均为中小企业的，联合体视同中小企业。其中，联合体各方均为小微企业的，联合体视同小微企业。</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（二）参加政府采购活动的中小企业应当提供《中小企业声明函》、由省级以上监狱管理局戒毒管理局(含新疆生产建设兵团)出具的属于监狱企业的证明文件或《残疾人福利性单位声明函》。</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16"/>
        </w:rPr>
        <w:t>（三）根据46号文第九条，接受大中型企业与小微企业组成联合体或者允许大中型企业向一家或者多家小微企业分包的采购项目，对于联合协议或者分包意向协议约定小微企业的合同份额占到合同总金额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pPr>
        <w:rPr>
          <w:rFonts w:ascii="仿宋" w:hAnsi="仿宋" w:eastAsia="仿宋" w:cs="仿宋"/>
          <w:color w:val="000000" w:themeColor="text1"/>
          <w14:textFill>
            <w14:solidFill>
              <w14:schemeClr w14:val="tx1"/>
            </w14:solidFill>
          </w14:textFill>
        </w:rPr>
      </w:pPr>
      <w:bookmarkStart w:id="203" w:name="_Toc15270"/>
      <w:bookmarkStart w:id="204" w:name="_Toc11783"/>
      <w:bookmarkStart w:id="205" w:name="_Toc30712"/>
      <w:r>
        <w:rPr>
          <w:rFonts w:hint="eastAsia" w:ascii="仿宋" w:hAnsi="仿宋" w:eastAsia="仿宋" w:cs="仿宋"/>
          <w:color w:val="000000" w:themeColor="text1"/>
          <w14:textFill>
            <w14:solidFill>
              <w14:schemeClr w14:val="tx1"/>
            </w14:solidFill>
          </w14:textFill>
        </w:rPr>
        <w:br w:type="page"/>
      </w:r>
    </w:p>
    <w:p>
      <w:pPr>
        <w:pStyle w:val="21"/>
        <w:spacing w:afterLines="0" w:line="360" w:lineRule="auto"/>
        <w:rPr>
          <w:rFonts w:ascii="仿宋" w:hAnsi="仿宋" w:eastAsia="仿宋" w:cs="仿宋"/>
          <w:color w:val="000000" w:themeColor="text1"/>
          <w14:textFill>
            <w14:solidFill>
              <w14:schemeClr w14:val="tx1"/>
            </w14:solidFill>
          </w14:textFill>
        </w:rPr>
      </w:pPr>
      <w:bookmarkStart w:id="206" w:name="_Toc27340"/>
      <w:r>
        <w:rPr>
          <w:rFonts w:hint="eastAsia" w:ascii="仿宋" w:hAnsi="仿宋" w:eastAsia="仿宋" w:cs="仿宋"/>
          <w:color w:val="000000" w:themeColor="text1"/>
          <w14:textFill>
            <w14:solidFill>
              <w14:schemeClr w14:val="tx1"/>
            </w14:solidFill>
          </w14:textFill>
        </w:rPr>
        <w:t>第六章  响应文件格式</w:t>
      </w:r>
      <w:bookmarkEnd w:id="46"/>
      <w:bookmarkEnd w:id="47"/>
      <w:bookmarkEnd w:id="48"/>
      <w:bookmarkEnd w:id="177"/>
      <w:bookmarkEnd w:id="178"/>
      <w:bookmarkEnd w:id="179"/>
      <w:bookmarkEnd w:id="180"/>
      <w:bookmarkEnd w:id="181"/>
      <w:bookmarkEnd w:id="182"/>
      <w:bookmarkEnd w:id="203"/>
      <w:bookmarkEnd w:id="204"/>
      <w:bookmarkEnd w:id="205"/>
      <w:bookmarkEnd w:id="206"/>
      <w:bookmarkStart w:id="207" w:name="_Toc49090576"/>
      <w:bookmarkStart w:id="208" w:name="_Toc120614282"/>
      <w:bookmarkStart w:id="209" w:name="_Toc26554094"/>
    </w:p>
    <w:p>
      <w:pPr>
        <w:pStyle w:val="20"/>
        <w:spacing w:before="0" w:after="0"/>
        <w:ind w:firstLine="0" w:firstLineChars="0"/>
        <w:jc w:val="center"/>
        <w:rPr>
          <w:rFonts w:ascii="仿宋" w:hAnsi="仿宋" w:eastAsia="仿宋" w:cs="仿宋"/>
          <w:b/>
          <w:bCs/>
          <w:color w:val="000000" w:themeColor="text1"/>
          <w:sz w:val="72"/>
          <w:szCs w:val="72"/>
          <w14:textFill>
            <w14:solidFill>
              <w14:schemeClr w14:val="tx1"/>
            </w14:solidFill>
          </w14:textFill>
        </w:rPr>
      </w:pPr>
      <w:bookmarkStart w:id="210" w:name="_Toc32395"/>
      <w:bookmarkStart w:id="211" w:name="_Toc12623"/>
    </w:p>
    <w:p>
      <w:pPr>
        <w:pStyle w:val="20"/>
        <w:spacing w:before="0" w:after="0"/>
        <w:ind w:firstLine="0" w:firstLineChars="0"/>
        <w:jc w:val="center"/>
        <w:rPr>
          <w:rFonts w:ascii="仿宋" w:hAnsi="仿宋" w:eastAsia="仿宋" w:cs="仿宋"/>
          <w:b/>
          <w:bCs/>
          <w:color w:val="000000" w:themeColor="text1"/>
          <w:sz w:val="72"/>
          <w:szCs w:val="72"/>
          <w14:textFill>
            <w14:solidFill>
              <w14:schemeClr w14:val="tx1"/>
            </w14:solidFill>
          </w14:textFill>
        </w:rPr>
      </w:pPr>
      <w:r>
        <w:rPr>
          <w:rFonts w:hint="eastAsia" w:ascii="仿宋" w:hAnsi="仿宋" w:eastAsia="仿宋" w:cs="仿宋"/>
          <w:b/>
          <w:bCs/>
          <w:color w:val="000000" w:themeColor="text1"/>
          <w:sz w:val="72"/>
          <w:szCs w:val="72"/>
          <w14:textFill>
            <w14:solidFill>
              <w14:schemeClr w14:val="tx1"/>
            </w14:solidFill>
          </w14:textFill>
        </w:rPr>
        <w:t>竞争性磋商响应文件</w:t>
      </w:r>
      <w:bookmarkEnd w:id="210"/>
      <w:bookmarkEnd w:id="211"/>
    </w:p>
    <w:p>
      <w:pPr>
        <w:pStyle w:val="20"/>
        <w:spacing w:before="0" w:after="0"/>
        <w:ind w:firstLine="0" w:firstLineChars="0"/>
        <w:jc w:val="center"/>
        <w:rPr>
          <w:rFonts w:ascii="仿宋" w:hAnsi="仿宋" w:eastAsia="仿宋" w:cs="仿宋"/>
          <w:b/>
          <w:bCs/>
          <w:color w:val="000000" w:themeColor="text1"/>
          <w:sz w:val="52"/>
          <w:szCs w:val="52"/>
          <w14:textFill>
            <w14:solidFill>
              <w14:schemeClr w14:val="tx1"/>
            </w14:solidFill>
          </w14:textFill>
        </w:rPr>
      </w:pPr>
      <w:bookmarkStart w:id="212" w:name="_Toc27695"/>
      <w:bookmarkStart w:id="213" w:name="_Toc3841"/>
    </w:p>
    <w:p>
      <w:pPr>
        <w:pStyle w:val="20"/>
        <w:spacing w:before="0" w:after="0"/>
        <w:ind w:firstLine="0" w:firstLineChars="0"/>
        <w:jc w:val="center"/>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52"/>
          <w:szCs w:val="52"/>
          <w14:textFill>
            <w14:solidFill>
              <w14:schemeClr w14:val="tx1"/>
            </w14:solidFill>
          </w14:textFill>
        </w:rPr>
        <w:t>（正本或副本）</w:t>
      </w:r>
      <w:bookmarkEnd w:id="212"/>
      <w:bookmarkEnd w:id="213"/>
    </w:p>
    <w:p>
      <w:pPr>
        <w:pStyle w:val="20"/>
        <w:spacing w:before="0" w:after="0"/>
        <w:ind w:firstLine="0" w:firstLineChars="0"/>
        <w:rPr>
          <w:rFonts w:ascii="仿宋" w:hAnsi="仿宋" w:eastAsia="仿宋" w:cs="仿宋"/>
          <w:color w:val="000000" w:themeColor="text1"/>
          <w14:textFill>
            <w14:solidFill>
              <w14:schemeClr w14:val="tx1"/>
            </w14:solidFill>
          </w14:textFill>
        </w:rPr>
      </w:pPr>
    </w:p>
    <w:p>
      <w:pPr>
        <w:pStyle w:val="20"/>
        <w:spacing w:before="0" w:after="0"/>
        <w:ind w:firstLine="0" w:firstLineChars="0"/>
        <w:rPr>
          <w:rFonts w:ascii="仿宋" w:hAnsi="仿宋" w:eastAsia="仿宋" w:cs="仿宋"/>
          <w:color w:val="000000" w:themeColor="text1"/>
          <w14:textFill>
            <w14:solidFill>
              <w14:schemeClr w14:val="tx1"/>
            </w14:solidFill>
          </w14:textFill>
        </w:rPr>
      </w:pPr>
    </w:p>
    <w:p>
      <w:pPr>
        <w:pStyle w:val="20"/>
        <w:spacing w:before="0" w:after="0"/>
        <w:ind w:firstLine="0" w:firstLineChars="0"/>
        <w:rPr>
          <w:rFonts w:ascii="仿宋" w:hAnsi="仿宋" w:eastAsia="仿宋" w:cs="仿宋"/>
          <w:color w:val="000000" w:themeColor="text1"/>
          <w14:textFill>
            <w14:solidFill>
              <w14:schemeClr w14:val="tx1"/>
            </w14:solidFill>
          </w14:textFill>
        </w:rPr>
      </w:pPr>
    </w:p>
    <w:p>
      <w:pPr>
        <w:pStyle w:val="20"/>
        <w:spacing w:before="0" w:after="0"/>
        <w:rPr>
          <w:rFonts w:ascii="仿宋" w:hAnsi="仿宋" w:eastAsia="仿宋" w:cs="仿宋"/>
          <w:color w:val="000000" w:themeColor="text1"/>
          <w14:textFill>
            <w14:solidFill>
              <w14:schemeClr w14:val="tx1"/>
            </w14:solidFill>
          </w14:textFill>
        </w:rPr>
      </w:pPr>
    </w:p>
    <w:p>
      <w:pPr>
        <w:pStyle w:val="20"/>
        <w:spacing w:before="0" w:after="0" w:line="720" w:lineRule="auto"/>
        <w:ind w:firstLine="1767" w:firstLineChars="400"/>
        <w:rPr>
          <w:rFonts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项目名称：存储系统更新项目</w:t>
      </w:r>
    </w:p>
    <w:p>
      <w:pPr>
        <w:pStyle w:val="20"/>
        <w:spacing w:before="0" w:after="0" w:line="480" w:lineRule="auto"/>
        <w:ind w:firstLine="1767" w:firstLineChars="400"/>
        <w:jc w:val="both"/>
        <w:rPr>
          <w:rFonts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项目编号：NJDCX-202311221356</w:t>
      </w:r>
    </w:p>
    <w:p>
      <w:pPr>
        <w:pStyle w:val="20"/>
        <w:spacing w:before="0" w:after="0"/>
        <w:rPr>
          <w:rFonts w:ascii="仿宋" w:hAnsi="仿宋" w:eastAsia="仿宋" w:cs="仿宋"/>
          <w:color w:val="000000" w:themeColor="text1"/>
          <w14:textFill>
            <w14:solidFill>
              <w14:schemeClr w14:val="tx1"/>
            </w14:solidFill>
          </w14:textFill>
        </w:rPr>
      </w:pPr>
    </w:p>
    <w:p>
      <w:pPr>
        <w:pStyle w:val="20"/>
        <w:spacing w:before="0" w:after="0"/>
        <w:rPr>
          <w:rFonts w:ascii="仿宋" w:hAnsi="仿宋" w:eastAsia="仿宋" w:cs="仿宋"/>
          <w:color w:val="000000" w:themeColor="text1"/>
          <w14:textFill>
            <w14:solidFill>
              <w14:schemeClr w14:val="tx1"/>
            </w14:solidFill>
          </w14:textFill>
        </w:rPr>
      </w:pPr>
    </w:p>
    <w:p>
      <w:pPr>
        <w:pStyle w:val="20"/>
        <w:spacing w:before="0" w:after="0"/>
        <w:rPr>
          <w:rFonts w:ascii="仿宋" w:hAnsi="仿宋" w:eastAsia="仿宋" w:cs="仿宋"/>
          <w:color w:val="000000" w:themeColor="text1"/>
          <w14:textFill>
            <w14:solidFill>
              <w14:schemeClr w14:val="tx1"/>
            </w14:solidFill>
          </w14:textFill>
        </w:rPr>
      </w:pPr>
    </w:p>
    <w:p>
      <w:pPr>
        <w:pStyle w:val="20"/>
        <w:spacing w:before="0" w:after="0"/>
        <w:ind w:firstLine="0" w:firstLineChars="0"/>
        <w:rPr>
          <w:rFonts w:ascii="仿宋" w:hAnsi="仿宋" w:eastAsia="仿宋" w:cs="仿宋"/>
          <w:color w:val="000000" w:themeColor="text1"/>
          <w14:textFill>
            <w14:solidFill>
              <w14:schemeClr w14:val="tx1"/>
            </w14:solidFill>
          </w14:textFill>
        </w:rPr>
      </w:pPr>
    </w:p>
    <w:p>
      <w:pPr>
        <w:pStyle w:val="20"/>
        <w:spacing w:before="0" w:after="0"/>
        <w:rPr>
          <w:rFonts w:ascii="仿宋" w:hAnsi="仿宋" w:eastAsia="仿宋" w:cs="仿宋"/>
          <w:color w:val="000000" w:themeColor="text1"/>
          <w14:textFill>
            <w14:solidFill>
              <w14:schemeClr w14:val="tx1"/>
            </w14:solidFill>
          </w14:textFill>
        </w:rPr>
      </w:pPr>
    </w:p>
    <w:p>
      <w:pPr>
        <w:pStyle w:val="20"/>
        <w:spacing w:before="0" w:after="0"/>
        <w:ind w:firstLine="843" w:firstLineChars="300"/>
        <w:rPr>
          <w:rFonts w:ascii="仿宋" w:hAnsi="仿宋" w:eastAsia="仿宋" w:cs="仿宋"/>
          <w:b/>
          <w:bCs/>
          <w:color w:val="000000" w:themeColor="text1"/>
          <w:sz w:val="28"/>
          <w:szCs w:val="28"/>
          <w14:textFill>
            <w14:solidFill>
              <w14:schemeClr w14:val="tx1"/>
            </w14:solidFill>
          </w14:textFill>
        </w:rPr>
      </w:pPr>
      <w:bookmarkStart w:id="214" w:name="_Toc27537"/>
      <w:bookmarkStart w:id="215" w:name="_Toc19894"/>
      <w:r>
        <w:rPr>
          <w:rFonts w:hint="eastAsia" w:ascii="仿宋" w:hAnsi="仿宋" w:eastAsia="仿宋" w:cs="仿宋"/>
          <w:b/>
          <w:bCs/>
          <w:color w:val="000000" w:themeColor="text1"/>
          <w:sz w:val="28"/>
          <w:szCs w:val="28"/>
          <w14:textFill>
            <w14:solidFill>
              <w14:schemeClr w14:val="tx1"/>
            </w14:solidFill>
          </w14:textFill>
        </w:rPr>
        <w:t>供应商名称 ：</w:t>
      </w:r>
      <w:bookmarkEnd w:id="214"/>
      <w:bookmarkEnd w:id="215"/>
    </w:p>
    <w:p>
      <w:pPr>
        <w:pStyle w:val="20"/>
        <w:spacing w:before="0" w:after="0"/>
        <w:ind w:firstLine="843" w:firstLineChars="300"/>
        <w:rPr>
          <w:rFonts w:ascii="仿宋" w:hAnsi="仿宋" w:eastAsia="仿宋" w:cs="仿宋"/>
          <w:b/>
          <w:bCs/>
          <w:color w:val="000000" w:themeColor="text1"/>
          <w:sz w:val="28"/>
          <w:szCs w:val="28"/>
          <w14:textFill>
            <w14:solidFill>
              <w14:schemeClr w14:val="tx1"/>
            </w14:solidFill>
          </w14:textFill>
        </w:rPr>
      </w:pPr>
      <w:bookmarkStart w:id="216" w:name="_Toc14028"/>
      <w:bookmarkStart w:id="217" w:name="_Toc5222"/>
      <w:r>
        <w:rPr>
          <w:rFonts w:hint="eastAsia" w:ascii="仿宋" w:hAnsi="仿宋" w:eastAsia="仿宋" w:cs="仿宋"/>
          <w:b/>
          <w:bCs/>
          <w:color w:val="000000" w:themeColor="text1"/>
          <w:sz w:val="28"/>
          <w:szCs w:val="28"/>
          <w14:textFill>
            <w14:solidFill>
              <w14:schemeClr w14:val="tx1"/>
            </w14:solidFill>
          </w14:textFill>
        </w:rPr>
        <w:t>授权代表 ：</w:t>
      </w:r>
      <w:bookmarkEnd w:id="216"/>
      <w:bookmarkEnd w:id="217"/>
    </w:p>
    <w:p>
      <w:pPr>
        <w:pStyle w:val="20"/>
        <w:spacing w:before="0" w:after="0"/>
        <w:ind w:firstLine="843" w:firstLineChars="300"/>
        <w:rPr>
          <w:rFonts w:ascii="仿宋" w:hAnsi="仿宋" w:eastAsia="仿宋" w:cs="仿宋"/>
          <w:color w:val="000000" w:themeColor="text1"/>
          <w14:textFill>
            <w14:solidFill>
              <w14:schemeClr w14:val="tx1"/>
            </w14:solidFill>
          </w14:textFill>
        </w:rPr>
      </w:pPr>
      <w:bookmarkStart w:id="218" w:name="_Toc28"/>
      <w:bookmarkStart w:id="219" w:name="_Toc16453"/>
      <w:r>
        <w:rPr>
          <w:rFonts w:hint="eastAsia" w:ascii="仿宋" w:hAnsi="仿宋" w:eastAsia="仿宋" w:cs="仿宋"/>
          <w:b/>
          <w:bCs/>
          <w:color w:val="000000" w:themeColor="text1"/>
          <w:sz w:val="28"/>
          <w:szCs w:val="28"/>
          <w14:textFill>
            <w14:solidFill>
              <w14:schemeClr w14:val="tx1"/>
            </w14:solidFill>
          </w14:textFill>
        </w:rPr>
        <w:t>日      期 ：</w:t>
      </w:r>
      <w:bookmarkEnd w:id="218"/>
      <w:bookmarkEnd w:id="219"/>
    </w:p>
    <w:p>
      <w:pPr>
        <w:spacing w:line="360" w:lineRule="auto"/>
        <w:jc w:val="center"/>
        <w:rPr>
          <w:rFonts w:ascii="仿宋" w:hAnsi="仿宋" w:eastAsia="仿宋" w:cs="仿宋"/>
          <w:b/>
          <w:bCs/>
          <w:color w:val="000000" w:themeColor="text1"/>
          <w:sz w:val="36"/>
          <w:szCs w:val="36"/>
          <w:u w:val="single"/>
          <w14:textFill>
            <w14:solidFill>
              <w14:schemeClr w14:val="tx1"/>
            </w14:solidFill>
          </w14:textFill>
        </w:rPr>
      </w:pPr>
      <w:r>
        <w:rPr>
          <w:rFonts w:hint="eastAsia" w:ascii="仿宋" w:hAnsi="仿宋" w:eastAsia="仿宋" w:cs="仿宋"/>
          <w:b/>
          <w:bCs/>
          <w:color w:val="000000" w:themeColor="text1"/>
          <w:sz w:val="36"/>
          <w:szCs w:val="36"/>
          <w:u w:val="single"/>
          <w14:textFill>
            <w14:solidFill>
              <w14:schemeClr w14:val="tx1"/>
            </w14:solidFill>
          </w14:textFill>
        </w:rPr>
        <w:br w:type="page"/>
      </w:r>
      <w:bookmarkStart w:id="220" w:name="_Toc27163"/>
      <w:bookmarkStart w:id="221" w:name="_Toc9798"/>
    </w:p>
    <w:p>
      <w:pPr>
        <w:pageBreakBefore/>
        <w:spacing w:beforeLines="100" w:afterLines="100" w:line="360" w:lineRule="auto"/>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资格性和符合性检查响应对照表</w:t>
      </w:r>
      <w:bookmarkEnd w:id="220"/>
      <w:bookmarkEnd w:id="221"/>
    </w:p>
    <w:tbl>
      <w:tblPr>
        <w:tblStyle w:val="15"/>
        <w:tblW w:w="9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009"/>
        <w:gridCol w:w="1884"/>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21" w:type="dxa"/>
            <w:vAlign w:val="center"/>
          </w:tcPr>
          <w:p>
            <w:pPr>
              <w:spacing w:line="0" w:lineRule="atLeast"/>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5009" w:type="dxa"/>
            <w:vAlign w:val="center"/>
          </w:tcPr>
          <w:p>
            <w:pPr>
              <w:spacing w:line="0" w:lineRule="atLeast"/>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资格和符合性检查响应内容</w:t>
            </w:r>
          </w:p>
        </w:tc>
        <w:tc>
          <w:tcPr>
            <w:tcW w:w="1884" w:type="dxa"/>
            <w:vAlign w:val="center"/>
          </w:tcPr>
          <w:p>
            <w:pPr>
              <w:spacing w:line="0" w:lineRule="atLeast"/>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是否响应</w:t>
            </w:r>
          </w:p>
          <w:p>
            <w:pPr>
              <w:spacing w:line="0" w:lineRule="atLeast"/>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（填是或者否）</w:t>
            </w:r>
          </w:p>
        </w:tc>
        <w:tc>
          <w:tcPr>
            <w:tcW w:w="1500" w:type="dxa"/>
            <w:vAlign w:val="center"/>
          </w:tcPr>
          <w:p>
            <w:pPr>
              <w:spacing w:line="0" w:lineRule="atLeast"/>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具有独立承担民事责任的能力（提供法人或者其他组织的营业执照复印件并加盖公章，或者自然人的身份证明）；</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具有良好的商业信誉和健全的财务会计制度（提供2022年度财务报表或银行出具的企业资信证明，法人或者其他组织成立未满一年的可提供近半年内任一月的资产负债和利润表）；</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具有履行合同所必需的设备和专业技术能力（根据项目需求提供履行合同所必需的设备和专业技术能力的证明材料或声明函）；</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有依法缴纳税收和社会保障资金的良好记录（提供参加本次采购活动前近六个月内任一月份依法缴纳税收及社会保险的凭据。依法免缴、迟缴的应提供相应文件证明）；</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参加本次采购活动前3年内在经营活动中没有重大违法记录（提供参加本次采购活动前3年内在经营活动中没有重大违法记录的书面声明）；</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磋商函、法人授权委托书；</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b/>
                <w:bCs/>
                <w:i/>
                <w:iCs/>
                <w:color w:val="000000" w:themeColor="text1"/>
                <w:sz w:val="24"/>
                <w:szCs w:val="24"/>
                <w:u w:val="single"/>
                <w14:textFill>
                  <w14:solidFill>
                    <w14:schemeClr w14:val="tx1"/>
                  </w14:solidFill>
                </w14:textFill>
              </w:rPr>
              <w:t>在磋商截止日前未被“信用中国”网站(www.creditchina.gov.cn)或中国政府采购网(www.ccgp.gov.cn) 列入失信被执行人、重大税收违法案件当事人、政府采购严重违法失信行为记录名单的供应商。</w:t>
            </w:r>
          </w:p>
        </w:tc>
        <w:tc>
          <w:tcPr>
            <w:tcW w:w="1884"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21" w:type="dxa"/>
            <w:vAlign w:val="center"/>
          </w:tcPr>
          <w:p>
            <w:pPr>
              <w:spacing w:line="0" w:lineRule="atLeas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8</w:t>
            </w:r>
          </w:p>
        </w:tc>
        <w:tc>
          <w:tcPr>
            <w:tcW w:w="5009" w:type="dxa"/>
            <w:vAlign w:val="center"/>
          </w:tcPr>
          <w:p>
            <w:pPr>
              <w:spacing w:line="0" w:lineRule="atLeast"/>
              <w:rPr>
                <w:rFonts w:ascii="仿宋" w:hAnsi="仿宋" w:eastAsia="仿宋" w:cs="仿宋"/>
                <w:b/>
                <w:bCs/>
                <w:i/>
                <w:iCs/>
                <w:color w:val="000000" w:themeColor="text1"/>
                <w:sz w:val="24"/>
                <w:szCs w:val="24"/>
                <w:u w:val="single"/>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w:t>
            </w:r>
          </w:p>
        </w:tc>
        <w:tc>
          <w:tcPr>
            <w:tcW w:w="1884" w:type="dxa"/>
            <w:vAlign w:val="center"/>
          </w:tcPr>
          <w:p>
            <w:pPr>
              <w:spacing w:line="0" w:lineRule="atLeast"/>
              <w:rPr>
                <w:rFonts w:ascii="仿宋" w:hAnsi="仿宋" w:eastAsia="仿宋" w:cs="仿宋"/>
                <w:color w:val="000000" w:themeColor="text1"/>
                <w14:textFill>
                  <w14:solidFill>
                    <w14:schemeClr w14:val="tx1"/>
                  </w14:solidFill>
                </w14:textFill>
              </w:rPr>
            </w:pPr>
          </w:p>
        </w:tc>
        <w:tc>
          <w:tcPr>
            <w:tcW w:w="1500" w:type="dxa"/>
            <w:vAlign w:val="center"/>
          </w:tcPr>
          <w:p>
            <w:pPr>
              <w:spacing w:line="0" w:lineRule="atLeast"/>
              <w:rPr>
                <w:rFonts w:ascii="仿宋" w:hAnsi="仿宋" w:eastAsia="仿宋" w:cs="仿宋"/>
                <w:color w:val="000000" w:themeColor="text1"/>
                <w14:textFill>
                  <w14:solidFill>
                    <w14:schemeClr w14:val="tx1"/>
                  </w14:solidFill>
                </w14:textFill>
              </w:rPr>
            </w:pPr>
          </w:p>
        </w:tc>
      </w:tr>
    </w:tbl>
    <w:p>
      <w:pPr>
        <w:spacing w:line="0" w:lineRule="atLeas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说明：上述所列资格证明文件为必须提供内容，未提供或未提供有效材料的，将不能通过符合性审查。</w:t>
      </w:r>
    </w:p>
    <w:p>
      <w:pPr>
        <w:spacing w:line="0" w:lineRule="atLeast"/>
        <w:rPr>
          <w:rFonts w:ascii="仿宋" w:hAnsi="仿宋" w:eastAsia="仿宋" w:cs="仿宋"/>
          <w:color w:val="000000" w:themeColor="text1"/>
          <w:sz w:val="24"/>
          <w:szCs w:val="24"/>
          <w14:textFill>
            <w14:solidFill>
              <w14:schemeClr w14:val="tx1"/>
            </w14:solidFill>
          </w14:textFill>
        </w:rPr>
      </w:pPr>
    </w:p>
    <w:p>
      <w:pPr>
        <w:spacing w:line="0" w:lineRule="atLeas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供应商全称（公章）：</w:t>
      </w:r>
    </w:p>
    <w:p>
      <w:pPr>
        <w:spacing w:line="0" w:lineRule="atLeast"/>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法定代表人或授权代表签字：</w:t>
      </w:r>
      <w:r>
        <w:rPr>
          <w:rFonts w:hint="eastAsia" w:ascii="仿宋" w:hAnsi="仿宋" w:eastAsia="仿宋" w:cs="仿宋"/>
          <w:color w:val="000000" w:themeColor="text1"/>
          <w14:textFill>
            <w14:solidFill>
              <w14:schemeClr w14:val="tx1"/>
            </w14:solidFill>
          </w14:textFill>
        </w:rPr>
        <w:br w:type="page"/>
      </w:r>
    </w:p>
    <w:p>
      <w:pPr>
        <w:pStyle w:val="20"/>
        <w:spacing w:beforeLines="50" w:afterLines="50"/>
        <w:ind w:firstLine="562"/>
        <w:jc w:val="center"/>
        <w:rPr>
          <w:rFonts w:ascii="仿宋" w:hAnsi="仿宋" w:eastAsia="仿宋" w:cs="仿宋"/>
          <w:b/>
          <w:bCs/>
          <w:color w:val="000000" w:themeColor="text1"/>
          <w:sz w:val="28"/>
          <w:szCs w:val="28"/>
          <w14:textFill>
            <w14:solidFill>
              <w14:schemeClr w14:val="tx1"/>
            </w14:solidFill>
          </w14:textFill>
        </w:rPr>
      </w:pPr>
      <w:bookmarkStart w:id="222" w:name="_Toc25617"/>
      <w:bookmarkStart w:id="223" w:name="_Toc7302"/>
      <w:r>
        <w:rPr>
          <w:rFonts w:hint="eastAsia" w:ascii="仿宋" w:hAnsi="仿宋" w:eastAsia="仿宋" w:cs="仿宋"/>
          <w:b/>
          <w:bCs/>
          <w:color w:val="000000" w:themeColor="text1"/>
          <w:sz w:val="28"/>
          <w:szCs w:val="28"/>
          <w14:textFill>
            <w14:solidFill>
              <w14:schemeClr w14:val="tx1"/>
            </w14:solidFill>
          </w14:textFill>
        </w:rPr>
        <w:t>评分索引表</w:t>
      </w:r>
      <w:bookmarkEnd w:id="222"/>
      <w:bookmarkEnd w:id="223"/>
    </w:p>
    <w:tbl>
      <w:tblPr>
        <w:tblStyle w:val="15"/>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7"/>
        <w:gridCol w:w="3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817" w:type="dxa"/>
            <w:vAlign w:val="center"/>
          </w:tcPr>
          <w:p>
            <w:pPr>
              <w:pStyle w:val="24"/>
              <w:spacing w:line="360" w:lineRule="auto"/>
              <w:ind w:firstLine="422"/>
              <w:jc w:val="center"/>
              <w:rPr>
                <w:rFonts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评分项目</w:t>
            </w:r>
          </w:p>
        </w:tc>
        <w:tc>
          <w:tcPr>
            <w:tcW w:w="3575" w:type="dxa"/>
            <w:vAlign w:val="center"/>
          </w:tcPr>
          <w:p>
            <w:pPr>
              <w:spacing w:line="360" w:lineRule="auto"/>
              <w:jc w:val="center"/>
              <w:rPr>
                <w:rFonts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kern w:val="0"/>
                <w14:textFill>
                  <w14:solidFill>
                    <w14:schemeClr w14:val="tx1"/>
                  </w14:solidFill>
                </w14:textFill>
              </w:rPr>
              <w:t>在磋商文件中的页码位置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817" w:type="dxa"/>
            <w:vAlign w:val="center"/>
          </w:tcPr>
          <w:p>
            <w:pPr>
              <w:pStyle w:val="24"/>
              <w:spacing w:line="360" w:lineRule="auto"/>
              <w:ind w:firstLine="422"/>
              <w:rPr>
                <w:rFonts w:ascii="仿宋" w:hAnsi="仿宋" w:eastAsia="仿宋" w:cs="仿宋"/>
                <w:b/>
                <w:bCs/>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b/>
                <w:bCs/>
                <w:color w:val="000000" w:themeColor="text1"/>
                <w:kern w:val="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pPr>
              <w:pStyle w:val="24"/>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392" w:type="dxa"/>
            <w:gridSpan w:val="2"/>
            <w:vAlign w:val="center"/>
          </w:tcPr>
          <w:p>
            <w:pPr>
              <w:pStyle w:val="24"/>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392" w:type="dxa"/>
            <w:gridSpan w:val="2"/>
            <w:vAlign w:val="center"/>
          </w:tcPr>
          <w:p>
            <w:pPr>
              <w:pStyle w:val="24"/>
              <w:spacing w:line="360" w:lineRule="auto"/>
              <w:ind w:firstLine="422"/>
              <w:rPr>
                <w:rFonts w:ascii="仿宋" w:hAnsi="仿宋" w:eastAsia="仿宋" w:cs="仿宋"/>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pPr>
              <w:pStyle w:val="24"/>
              <w:spacing w:line="360" w:lineRule="auto"/>
              <w:ind w:firstLine="422"/>
              <w:rPr>
                <w:rFonts w:ascii="仿宋" w:hAnsi="仿宋" w:eastAsia="仿宋" w:cs="仿宋"/>
                <w:b/>
                <w:bCs/>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pPr>
              <w:pStyle w:val="24"/>
              <w:spacing w:line="360" w:lineRule="auto"/>
              <w:ind w:firstLine="422"/>
              <w:rPr>
                <w:rFonts w:ascii="仿宋" w:hAnsi="仿宋" w:eastAsia="仿宋" w:cs="仿宋"/>
                <w:b/>
                <w:bCs/>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pPr>
              <w:pStyle w:val="24"/>
              <w:spacing w:line="360" w:lineRule="auto"/>
              <w:ind w:firstLine="422"/>
              <w:rPr>
                <w:rFonts w:ascii="仿宋" w:hAnsi="仿宋" w:eastAsia="仿宋" w:cs="仿宋"/>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817" w:type="dxa"/>
            <w:vAlign w:val="center"/>
          </w:tcPr>
          <w:p>
            <w:pPr>
              <w:pStyle w:val="24"/>
              <w:spacing w:line="360" w:lineRule="auto"/>
              <w:rPr>
                <w:rFonts w:ascii="仿宋" w:hAnsi="仿宋" w:eastAsia="仿宋" w:cs="仿宋"/>
                <w:color w:val="000000" w:themeColor="text1"/>
                <w14:textFill>
                  <w14:solidFill>
                    <w14:schemeClr w14:val="tx1"/>
                  </w14:solidFill>
                </w14:textFill>
              </w:rPr>
            </w:pPr>
          </w:p>
        </w:tc>
        <w:tc>
          <w:tcPr>
            <w:tcW w:w="3575" w:type="dxa"/>
            <w:vAlign w:val="center"/>
          </w:tcPr>
          <w:p>
            <w:pPr>
              <w:spacing w:line="360" w:lineRule="auto"/>
              <w:rPr>
                <w:rFonts w:ascii="仿宋" w:hAnsi="仿宋" w:eastAsia="仿宋" w:cs="仿宋"/>
                <w:color w:val="000000" w:themeColor="text1"/>
                <w14:textFill>
                  <w14:solidFill>
                    <w14:schemeClr w14:val="tx1"/>
                  </w14:solidFill>
                </w14:textFill>
              </w:rPr>
            </w:pPr>
          </w:p>
        </w:tc>
      </w:tr>
    </w:tbl>
    <w:p>
      <w:pPr>
        <w:spacing w:line="360" w:lineRule="auto"/>
        <w:rPr>
          <w:rFonts w:ascii="仿宋" w:hAnsi="仿宋" w:eastAsia="仿宋" w:cs="仿宋"/>
          <w:color w:val="000000" w:themeColor="text1"/>
          <w14:textFill>
            <w14:solidFill>
              <w14:schemeClr w14:val="tx1"/>
            </w14:solidFill>
          </w14:textFill>
        </w:rPr>
      </w:pPr>
    </w:p>
    <w:p>
      <w:pPr>
        <w:pageBreakBefore/>
        <w:spacing w:line="360" w:lineRule="auto"/>
        <w:jc w:val="center"/>
        <w:rPr>
          <w:rFonts w:ascii="仿宋" w:hAnsi="仿宋" w:eastAsia="仿宋" w:cs="仿宋"/>
          <w:b/>
          <w:bCs/>
          <w:color w:val="000000" w:themeColor="text1"/>
          <w:kern w:val="0"/>
          <w:sz w:val="28"/>
          <w:szCs w:val="28"/>
          <w14:textFill>
            <w14:solidFill>
              <w14:schemeClr w14:val="tx1"/>
            </w14:solidFill>
          </w14:textFill>
        </w:rPr>
      </w:pPr>
      <w:bookmarkStart w:id="224" w:name="_Toc11631"/>
      <w:bookmarkStart w:id="225" w:name="_Toc5449"/>
      <w:r>
        <w:rPr>
          <w:rFonts w:hint="eastAsia" w:ascii="仿宋" w:hAnsi="仿宋" w:eastAsia="仿宋" w:cs="仿宋"/>
          <w:b/>
          <w:bCs/>
          <w:color w:val="000000" w:themeColor="text1"/>
          <w:kern w:val="0"/>
          <w:sz w:val="28"/>
          <w:szCs w:val="28"/>
          <w14:textFill>
            <w14:solidFill>
              <w14:schemeClr w14:val="tx1"/>
            </w14:solidFill>
          </w14:textFill>
        </w:rPr>
        <w:t>主要文件目录</w:t>
      </w:r>
      <w:bookmarkEnd w:id="224"/>
      <w:bookmarkEnd w:id="225"/>
    </w:p>
    <w:p>
      <w:pPr>
        <w:spacing w:line="360" w:lineRule="auto"/>
        <w:ind w:firstLine="120" w:firstLineChars="5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请供应商编制目录及页码，否则可能将影响对响应文件的评价。</w:t>
      </w:r>
    </w:p>
    <w:p>
      <w:pPr>
        <w:spacing w:line="360" w:lineRule="auto"/>
        <w:ind w:firstLine="120" w:firstLineChars="50"/>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14:textFill>
            <w14:solidFill>
              <w14:schemeClr w14:val="tx1"/>
            </w14:solidFill>
          </w14:textFill>
        </w:rPr>
      </w:pPr>
    </w:p>
    <w:p>
      <w:pPr>
        <w:spacing w:line="360" w:lineRule="auto"/>
        <w:jc w:val="center"/>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bookmarkStart w:id="226" w:name="_Toc449017027"/>
    </w:p>
    <w:bookmarkEnd w:id="49"/>
    <w:bookmarkEnd w:id="50"/>
    <w:bookmarkEnd w:id="207"/>
    <w:bookmarkEnd w:id="208"/>
    <w:bookmarkEnd w:id="209"/>
    <w:bookmarkEnd w:id="226"/>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27" w:name="_Toc25170485"/>
      <w:bookmarkStart w:id="228" w:name="_Toc13734"/>
      <w:bookmarkStart w:id="229" w:name="_Toc27913"/>
      <w:bookmarkStart w:id="230" w:name="_Toc13187"/>
      <w:bookmarkStart w:id="231" w:name="_Toc23635"/>
      <w:bookmarkStart w:id="232" w:name="_Toc28049"/>
      <w:bookmarkStart w:id="233" w:name="_Toc25957"/>
      <w:bookmarkStart w:id="234" w:name="_Toc361"/>
      <w:r>
        <w:rPr>
          <w:rFonts w:hint="eastAsia" w:ascii="仿宋" w:hAnsi="仿宋" w:eastAsia="仿宋" w:cs="仿宋"/>
          <w:color w:val="000000" w:themeColor="text1"/>
          <w:sz w:val="32"/>
          <w:szCs w:val="32"/>
          <w14:textFill>
            <w14:solidFill>
              <w14:schemeClr w14:val="tx1"/>
            </w14:solidFill>
          </w14:textFill>
        </w:rPr>
        <w:t>一、磋商函</w:t>
      </w:r>
      <w:bookmarkEnd w:id="227"/>
      <w:bookmarkEnd w:id="228"/>
      <w:bookmarkEnd w:id="229"/>
      <w:bookmarkEnd w:id="230"/>
      <w:bookmarkEnd w:id="231"/>
      <w:bookmarkEnd w:id="232"/>
      <w:bookmarkEnd w:id="233"/>
      <w:bookmarkEnd w:id="234"/>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南京达琛鑫工程咨询有限公司：</w:t>
      </w:r>
    </w:p>
    <w:p>
      <w:pPr>
        <w:widowControl/>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存储系统更新项目（采购编号为：NJDCX-202311221356）竞争性磋商文件（包括更正公告，如果有的话）收悉，我们经详细审阅和研究，现决定参加磋商。</w:t>
      </w:r>
    </w:p>
    <w:p>
      <w:pPr>
        <w:widowControl/>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1、我们郑重承诺：我们是符合《政府采购法》第22条规定的供应商，并严格遵守《政府采购法》第77条的规定，本响应文件中提供的所有材料均是真实有效的。</w:t>
      </w: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2、我们接受竞争性磋商文件的所有的条款和规定。</w:t>
      </w: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3、我们同意按照本竞争性磋商文件第二章“磋商须知”的规定，本响应文件的有效期为从磋商之日起计算的九十天，在此期间，本响应文件将始终对我们具有约束力，并可随时被接受。如果我们成交，本响应文件在此期间之后将继续保持有效。</w:t>
      </w: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4、我们同意提供采购人要求的有关本次采购的所有资料。</w:t>
      </w: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5、我们理解，你们无义务必须接受磋商报价最低的磋商，并有权拒绝所有的磋商。同时也理解你们不承担我们本次磋商的费用。</w:t>
      </w: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6、如果我们成交，为执行合同，我们将按供应商须知有关要求提供必要的履约保证。</w:t>
      </w: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p>
    <w:p>
      <w:pPr>
        <w:widowControl/>
        <w:snapToGrid w:val="0"/>
        <w:spacing w:line="360" w:lineRule="auto"/>
        <w:ind w:left="420" w:left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供应商名称：（公章）</w:t>
      </w:r>
    </w:p>
    <w:p>
      <w:pPr>
        <w:widowControl/>
        <w:snapToGrid w:val="0"/>
        <w:spacing w:line="360" w:lineRule="auto"/>
        <w:ind w:left="420" w:left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地址：                          邮编：</w:t>
      </w:r>
    </w:p>
    <w:p>
      <w:pPr>
        <w:widowControl/>
        <w:snapToGrid w:val="0"/>
        <w:spacing w:line="360" w:lineRule="auto"/>
        <w:ind w:left="420" w:left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电话：                          传真：          </w:t>
      </w:r>
    </w:p>
    <w:p>
      <w:pPr>
        <w:widowControl/>
        <w:snapToGrid w:val="0"/>
        <w:spacing w:line="360" w:lineRule="auto"/>
        <w:ind w:left="420" w:left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法定代表人（授权代表）（签字或盖章）：                   </w:t>
      </w:r>
    </w:p>
    <w:p>
      <w:pPr>
        <w:widowControl/>
        <w:snapToGrid w:val="0"/>
        <w:spacing w:line="360" w:lineRule="auto"/>
        <w:ind w:left="420" w:left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职务：                  </w:t>
      </w:r>
    </w:p>
    <w:p>
      <w:pPr>
        <w:widowControl/>
        <w:snapToGrid w:val="0"/>
        <w:spacing w:line="360" w:lineRule="auto"/>
        <w:ind w:left="420" w:left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日期：                  </w:t>
      </w:r>
      <w:bookmarkStart w:id="235" w:name="_Toc2237"/>
      <w:bookmarkStart w:id="236" w:name="_Toc27417"/>
    </w:p>
    <w:p>
      <w:pPr>
        <w:widowControl/>
        <w:snapToGrid w:val="0"/>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br w:type="page"/>
      </w:r>
    </w:p>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37" w:name="_Toc19856"/>
      <w:bookmarkStart w:id="238" w:name="_Toc23135"/>
      <w:bookmarkStart w:id="239" w:name="_Toc25170486"/>
      <w:bookmarkStart w:id="240" w:name="_Toc16299"/>
      <w:bookmarkStart w:id="241" w:name="_Toc18522"/>
      <w:bookmarkStart w:id="242" w:name="_Toc25062"/>
      <w:r>
        <w:rPr>
          <w:rFonts w:hint="eastAsia" w:ascii="仿宋" w:hAnsi="仿宋" w:eastAsia="仿宋" w:cs="仿宋"/>
          <w:color w:val="000000" w:themeColor="text1"/>
          <w:sz w:val="32"/>
          <w:szCs w:val="32"/>
          <w14:textFill>
            <w14:solidFill>
              <w14:schemeClr w14:val="tx1"/>
            </w14:solidFill>
          </w14:textFill>
        </w:rPr>
        <w:t>二、报价一览表</w:t>
      </w:r>
      <w:bookmarkEnd w:id="235"/>
      <w:bookmarkEnd w:id="236"/>
      <w:bookmarkEnd w:id="237"/>
      <w:bookmarkEnd w:id="238"/>
      <w:bookmarkEnd w:id="239"/>
      <w:bookmarkEnd w:id="240"/>
      <w:bookmarkEnd w:id="241"/>
      <w:bookmarkEnd w:id="242"/>
    </w:p>
    <w:p>
      <w:pPr>
        <w:pStyle w:val="25"/>
        <w:spacing w:line="360" w:lineRule="auto"/>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窗体顶端</w:t>
      </w:r>
    </w:p>
    <w:tbl>
      <w:tblPr>
        <w:tblStyle w:val="15"/>
        <w:tblpPr w:leftFromText="45" w:rightFromText="45" w:vertAnchor="text"/>
        <w:tblW w:w="9613" w:type="dxa"/>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802"/>
        <w:gridCol w:w="681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783" w:hRule="atLeast"/>
          <w:tblCellSpacing w:w="0" w:type="dxa"/>
        </w:trPr>
        <w:tc>
          <w:tcPr>
            <w:tcW w:w="2802" w:type="dxa"/>
            <w:tcBorders>
              <w:top w:val="single" w:color="auto" w:sz="4" w:space="0"/>
              <w:left w:val="single" w:color="000000" w:sz="6" w:space="0"/>
              <w:bottom w:val="single" w:color="auto" w:sz="4" w:space="0"/>
              <w:right w:val="single" w:color="auto" w:sz="4" w:space="0"/>
            </w:tcBorders>
            <w:vAlign w:val="center"/>
          </w:tcPr>
          <w:p>
            <w:pPr>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项目名称</w:t>
            </w:r>
          </w:p>
        </w:tc>
        <w:tc>
          <w:tcPr>
            <w:tcW w:w="68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存储系统更新项目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6" w:hRule="atLeast"/>
          <w:tblCellSpacing w:w="0" w:type="dxa"/>
        </w:trPr>
        <w:tc>
          <w:tcPr>
            <w:tcW w:w="2802" w:type="dxa"/>
            <w:tcBorders>
              <w:top w:val="single" w:color="auto" w:sz="4" w:space="0"/>
              <w:left w:val="single" w:color="auto" w:sz="4" w:space="0"/>
              <w:bottom w:val="single" w:color="auto" w:sz="4" w:space="0"/>
              <w:right w:val="single" w:color="auto" w:sz="4" w:space="0"/>
            </w:tcBorders>
            <w:vAlign w:val="center"/>
          </w:tcPr>
          <w:p>
            <w:pPr>
              <w:tabs>
                <w:tab w:val="left" w:pos="142"/>
              </w:tabs>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项目编号</w:t>
            </w:r>
          </w:p>
        </w:tc>
        <w:tc>
          <w:tcPr>
            <w:tcW w:w="6811" w:type="dxa"/>
            <w:tcBorders>
              <w:top w:val="single" w:color="auto" w:sz="4" w:space="0"/>
              <w:left w:val="single" w:color="auto" w:sz="4" w:space="0"/>
              <w:bottom w:val="single" w:color="auto" w:sz="4" w:space="0"/>
              <w:right w:val="single" w:color="auto" w:sz="4" w:space="0"/>
            </w:tcBorders>
            <w:vAlign w:val="center"/>
          </w:tcPr>
          <w:p>
            <w:pPr>
              <w:tabs>
                <w:tab w:val="left" w:pos="142"/>
              </w:tabs>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NJDCX-202311221356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7" w:hRule="atLeast"/>
          <w:tblCellSpacing w:w="0" w:type="dxa"/>
        </w:trPr>
        <w:tc>
          <w:tcPr>
            <w:tcW w:w="28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报价</w:t>
            </w:r>
          </w:p>
        </w:tc>
        <w:tc>
          <w:tcPr>
            <w:tcW w:w="68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u w:val="single"/>
                <w14:textFill>
                  <w14:solidFill>
                    <w14:schemeClr w14:val="tx1"/>
                  </w14:solidFill>
                </w14:textFill>
              </w:rPr>
              <w:t> 　　    　</w:t>
            </w:r>
            <w:r>
              <w:rPr>
                <w:rFonts w:hint="eastAsia" w:ascii="仿宋" w:hAnsi="仿宋" w:eastAsia="仿宋" w:cs="仿宋"/>
                <w:color w:val="000000" w:themeColor="text1"/>
                <w:sz w:val="24"/>
                <w:szCs w:val="24"/>
                <w14:textFill>
                  <w14:solidFill>
                    <w14:schemeClr w14:val="tx1"/>
                  </w14:solidFill>
                </w14:textFill>
              </w:rPr>
              <w:t>元整</w:t>
            </w:r>
          </w:p>
          <w:p>
            <w:pPr>
              <w:spacing w:line="360" w:lineRule="auto"/>
              <w:ind w:firstLine="1200" w:firstLineChars="5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人民币 (大写)：</w:t>
            </w:r>
            <w:r>
              <w:rPr>
                <w:rFonts w:hint="eastAsia" w:ascii="仿宋" w:hAnsi="仿宋" w:eastAsia="仿宋" w:cs="仿宋"/>
                <w:color w:val="000000" w:themeColor="text1"/>
                <w:sz w:val="24"/>
                <w:szCs w:val="24"/>
                <w:u w:val="single"/>
                <w14:textFill>
                  <w14:solidFill>
                    <w14:schemeClr w14:val="tx1"/>
                  </w14:solidFill>
                </w14:textFill>
              </w:rPr>
              <w:t xml:space="preserve">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8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交货</w:t>
            </w:r>
            <w:r>
              <w:rPr>
                <w:rFonts w:hint="eastAsia" w:ascii="仿宋" w:hAnsi="仿宋" w:eastAsia="仿宋" w:cs="仿宋"/>
                <w:color w:val="000000" w:themeColor="text1"/>
                <w:sz w:val="24"/>
                <w:szCs w:val="24"/>
                <w14:textFill>
                  <w14:solidFill>
                    <w14:schemeClr w14:val="tx1"/>
                  </w14:solidFill>
                </w14:textFill>
              </w:rPr>
              <w:t>时间</w:t>
            </w:r>
          </w:p>
        </w:tc>
        <w:tc>
          <w:tcPr>
            <w:tcW w:w="68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u w:val="single"/>
                <w14:textFill>
                  <w14:solidFill>
                    <w14:schemeClr w14:val="tx1"/>
                  </w14:solidFill>
                </w14:textFill>
              </w:rPr>
              <w:t xml:space="preserve">   </w:t>
            </w:r>
          </w:p>
        </w:tc>
      </w:tr>
    </w:tbl>
    <w:p>
      <w:pPr>
        <w:pStyle w:val="13"/>
        <w:spacing w:before="0" w:beforeAutospacing="0" w:after="0" w:afterAutospacing="0" w:line="360" w:lineRule="auto"/>
        <w:rPr>
          <w:rFonts w:ascii="仿宋" w:hAnsi="仿宋" w:eastAsia="仿宋" w:cs="仿宋"/>
          <w:color w:val="000000" w:themeColor="text1"/>
          <w14:textFill>
            <w14:solidFill>
              <w14:schemeClr w14:val="tx1"/>
            </w14:solidFill>
          </w14:textFill>
        </w:rPr>
      </w:pPr>
    </w:p>
    <w:p>
      <w:pPr>
        <w:pStyle w:val="13"/>
        <w:spacing w:before="0" w:beforeAutospacing="0" w:after="0" w:afterAutospacing="0" w:line="360" w:lineRule="auto"/>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供应商全称（公章）：  </w:t>
      </w:r>
    </w:p>
    <w:p>
      <w:pPr>
        <w:pStyle w:val="13"/>
        <w:spacing w:before="0" w:beforeAutospacing="0" w:after="0" w:afterAutospacing="0" w:line="360" w:lineRule="auto"/>
        <w:rPr>
          <w:rFonts w:ascii="仿宋" w:hAnsi="仿宋" w:eastAsia="仿宋" w:cs="仿宋"/>
          <w:color w:val="000000" w:themeColor="text1"/>
          <w:u w:val="single"/>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 xml:space="preserve">法定代表人（授权代表）（签字或盖章）： </w:t>
      </w:r>
      <w:r>
        <w:rPr>
          <w:rFonts w:hint="eastAsia" w:ascii="仿宋" w:hAnsi="仿宋" w:eastAsia="仿宋" w:cs="仿宋"/>
          <w:color w:val="000000" w:themeColor="text1"/>
          <w:u w:val="single"/>
          <w14:textFill>
            <w14:solidFill>
              <w14:schemeClr w14:val="tx1"/>
            </w14:solidFill>
          </w14:textFill>
        </w:rPr>
        <w:t>       </w:t>
      </w:r>
    </w:p>
    <w:p>
      <w:pPr>
        <w:spacing w:line="0" w:lineRule="atLeast"/>
        <w:rPr>
          <w:rStyle w:val="17"/>
          <w:rFonts w:ascii="仿宋" w:hAnsi="仿宋" w:eastAsia="仿宋" w:cs="仿宋"/>
          <w:color w:val="000000" w:themeColor="text1"/>
          <w14:textFill>
            <w14:solidFill>
              <w14:schemeClr w14:val="tx1"/>
            </w14:solidFill>
          </w14:textFill>
        </w:rPr>
      </w:pPr>
    </w:p>
    <w:p>
      <w:pPr>
        <w:spacing w:line="0" w:lineRule="atLeast"/>
        <w:rPr>
          <w:rStyle w:val="17"/>
          <w:rFonts w:ascii="仿宋" w:hAnsi="仿宋" w:eastAsia="仿宋" w:cs="仿宋"/>
          <w:color w:val="000000" w:themeColor="text1"/>
          <w14:textFill>
            <w14:solidFill>
              <w14:schemeClr w14:val="tx1"/>
            </w14:solidFill>
          </w14:textFill>
        </w:rPr>
      </w:pPr>
    </w:p>
    <w:p>
      <w:pPr>
        <w:spacing w:line="0" w:lineRule="atLeast"/>
        <w:rPr>
          <w:rStyle w:val="17"/>
          <w:rFonts w:ascii="仿宋" w:hAnsi="仿宋" w:eastAsia="仿宋" w:cs="仿宋"/>
          <w:color w:val="000000" w:themeColor="text1"/>
          <w14:textFill>
            <w14:solidFill>
              <w14:schemeClr w14:val="tx1"/>
            </w14:solidFill>
          </w14:textFill>
        </w:rPr>
      </w:pPr>
    </w:p>
    <w:p>
      <w:pPr>
        <w:spacing w:line="0" w:lineRule="atLeast"/>
        <w:rPr>
          <w:rStyle w:val="17"/>
          <w:rFonts w:ascii="仿宋" w:hAnsi="仿宋" w:eastAsia="仿宋" w:cs="仿宋"/>
          <w:color w:val="000000" w:themeColor="text1"/>
          <w14:textFill>
            <w14:solidFill>
              <w14:schemeClr w14:val="tx1"/>
            </w14:solidFill>
          </w14:textFill>
        </w:rPr>
      </w:pPr>
    </w:p>
    <w:p>
      <w:pPr>
        <w:spacing w:line="0" w:lineRule="atLeast"/>
        <w:rPr>
          <w:rStyle w:val="17"/>
          <w:rFonts w:ascii="仿宋" w:hAnsi="仿宋" w:eastAsia="仿宋" w:cs="仿宋"/>
          <w:color w:val="000000" w:themeColor="text1"/>
          <w14:textFill>
            <w14:solidFill>
              <w14:schemeClr w14:val="tx1"/>
            </w14:solidFill>
          </w14:textFill>
        </w:rPr>
      </w:pPr>
      <w:r>
        <w:rPr>
          <w:rStyle w:val="17"/>
          <w:rFonts w:hint="eastAsia" w:ascii="仿宋" w:hAnsi="仿宋" w:eastAsia="仿宋" w:cs="仿宋"/>
          <w:color w:val="000000" w:themeColor="text1"/>
          <w14:textFill>
            <w14:solidFill>
              <w14:schemeClr w14:val="tx1"/>
            </w14:solidFill>
          </w14:textFill>
        </w:rPr>
        <w:t>注:</w:t>
      </w:r>
    </w:p>
    <w:p>
      <w:pPr>
        <w:spacing w:line="0" w:lineRule="atLeast"/>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1.所有价格均以人民币表示；</w:t>
      </w:r>
    </w:p>
    <w:p>
      <w:pPr>
        <w:spacing w:line="0" w:lineRule="atLeast"/>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2.报价应包括磋商文件所规定的采购范围的全部内容（各类人工、税费、管理费以及一切技术和服务费等）。供应商漏报的费用，视为此项费用已隐含在响应报价中，成交后不得再向采购人收取任何费用；</w:t>
      </w:r>
    </w:p>
    <w:p>
      <w:pPr>
        <w:spacing w:line="0" w:lineRule="atLeast"/>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3.磋商文件未列明，而供应商认为必需的费用也需列入报价；</w:t>
      </w:r>
    </w:p>
    <w:p>
      <w:pPr>
        <w:spacing w:line="0" w:lineRule="atLeast"/>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4.供应商不得实质性改动报价一览表格式及内容。</w:t>
      </w:r>
    </w:p>
    <w:p>
      <w:pPr>
        <w:spacing w:line="360" w:lineRule="auto"/>
        <w:rPr>
          <w:rFonts w:ascii="仿宋" w:hAnsi="仿宋" w:eastAsia="仿宋" w:cs="仿宋"/>
          <w:color w:val="000000" w:themeColor="text1"/>
          <w:sz w:val="24"/>
          <w14:textFill>
            <w14:solidFill>
              <w14:schemeClr w14:val="tx1"/>
            </w14:solidFill>
          </w14:textFill>
        </w:rPr>
        <w:sectPr>
          <w:footerReference r:id="rId11" w:type="default"/>
          <w:pgSz w:w="11906" w:h="16838"/>
          <w:pgMar w:top="1440" w:right="1080" w:bottom="1440" w:left="1080" w:header="851" w:footer="992" w:gutter="0"/>
          <w:pgNumType w:start="1"/>
          <w:cols w:space="0" w:num="1"/>
          <w:docGrid w:type="lines" w:linePitch="312" w:charSpace="0"/>
        </w:sectPr>
      </w:pPr>
      <w:bookmarkStart w:id="243" w:name="_Toc14915"/>
      <w:bookmarkStart w:id="244" w:name="_Toc12470"/>
    </w:p>
    <w:bookmarkEnd w:id="243"/>
    <w:bookmarkEnd w:id="244"/>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45" w:name="_Toc25170487"/>
      <w:bookmarkStart w:id="246" w:name="_Toc8485"/>
      <w:bookmarkStart w:id="247" w:name="_Toc17239"/>
      <w:bookmarkStart w:id="248" w:name="_Toc26188"/>
      <w:bookmarkStart w:id="249" w:name="_Toc3563"/>
      <w:bookmarkStart w:id="250" w:name="_Toc28301"/>
      <w:bookmarkStart w:id="251" w:name="_Toc812"/>
      <w:bookmarkStart w:id="252" w:name="_Toc32325"/>
      <w:bookmarkStart w:id="253" w:name="_Toc25230"/>
      <w:r>
        <w:rPr>
          <w:rFonts w:hint="eastAsia" w:ascii="仿宋" w:hAnsi="仿宋" w:eastAsia="仿宋" w:cs="仿宋"/>
          <w:color w:val="000000" w:themeColor="text1"/>
          <w:sz w:val="32"/>
          <w:szCs w:val="32"/>
          <w14:textFill>
            <w14:solidFill>
              <w14:schemeClr w14:val="tx1"/>
            </w14:solidFill>
          </w14:textFill>
        </w:rPr>
        <w:t>三、</w:t>
      </w:r>
      <w:bookmarkEnd w:id="245"/>
      <w:bookmarkEnd w:id="246"/>
      <w:bookmarkEnd w:id="247"/>
      <w:bookmarkEnd w:id="248"/>
      <w:r>
        <w:rPr>
          <w:rFonts w:hint="eastAsia" w:ascii="仿宋" w:hAnsi="仿宋" w:eastAsia="仿宋" w:cs="仿宋"/>
          <w:color w:val="000000" w:themeColor="text1"/>
          <w:sz w:val="32"/>
          <w:szCs w:val="32"/>
          <w14:textFill>
            <w14:solidFill>
              <w14:schemeClr w14:val="tx1"/>
            </w14:solidFill>
          </w14:textFill>
        </w:rPr>
        <w:t>报价明细表</w:t>
      </w:r>
      <w:bookmarkEnd w:id="249"/>
      <w:bookmarkEnd w:id="250"/>
      <w:bookmarkEnd w:id="251"/>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项目名称：</w:t>
      </w:r>
      <w:r>
        <w:rPr>
          <w:rFonts w:hint="eastAsia" w:ascii="仿宋" w:hAnsi="仿宋" w:eastAsia="仿宋" w:cs="仿宋"/>
          <w:color w:val="000000" w:themeColor="text1"/>
          <w:sz w:val="24"/>
          <w:szCs w:val="24"/>
          <w14:textFill>
            <w14:solidFill>
              <w14:schemeClr w14:val="tx1"/>
            </w14:solidFill>
          </w14:textFill>
        </w:rPr>
        <w:t>存储系统更新项目</w:t>
      </w:r>
    </w:p>
    <w:p>
      <w:pPr>
        <w:spacing w:line="360" w:lineRule="auto"/>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项目编号：</w:t>
      </w:r>
      <w:r>
        <w:rPr>
          <w:rFonts w:hint="eastAsia" w:ascii="仿宋" w:hAnsi="仿宋" w:eastAsia="仿宋" w:cs="仿宋"/>
          <w:color w:val="000000" w:themeColor="text1"/>
          <w:sz w:val="24"/>
          <w:szCs w:val="24"/>
          <w14:textFill>
            <w14:solidFill>
              <w14:schemeClr w14:val="tx1"/>
            </w14:solidFill>
          </w14:textFill>
        </w:rPr>
        <w:t>NJDCX-202311221356</w:t>
      </w:r>
    </w:p>
    <w:tbl>
      <w:tblPr>
        <w:tblStyle w:val="15"/>
        <w:tblW w:w="9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801"/>
        <w:gridCol w:w="1719"/>
        <w:gridCol w:w="1258"/>
        <w:gridCol w:w="1320"/>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序号</w:t>
            </w:r>
          </w:p>
        </w:tc>
        <w:tc>
          <w:tcPr>
            <w:tcW w:w="1801"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服务名称</w:t>
            </w:r>
          </w:p>
        </w:tc>
        <w:tc>
          <w:tcPr>
            <w:tcW w:w="1719"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分项单位</w:t>
            </w:r>
          </w:p>
        </w:tc>
        <w:tc>
          <w:tcPr>
            <w:tcW w:w="1258"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数量</w:t>
            </w:r>
          </w:p>
        </w:tc>
        <w:tc>
          <w:tcPr>
            <w:tcW w:w="1320"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单价</w:t>
            </w:r>
          </w:p>
          <w:p>
            <w:pPr>
              <w:spacing w:line="360" w:lineRule="auto"/>
              <w:jc w:val="center"/>
              <w:textAlignment w:val="baseline"/>
              <w:rPr>
                <w:rFonts w:ascii="仿宋" w:hAnsi="仿宋" w:eastAsia="仿宋" w:cs="仿宋"/>
                <w:sz w:val="24"/>
              </w:rPr>
            </w:pPr>
            <w:r>
              <w:rPr>
                <w:rFonts w:hint="eastAsia" w:ascii="仿宋" w:hAnsi="仿宋" w:eastAsia="仿宋" w:cs="仿宋"/>
                <w:sz w:val="24"/>
              </w:rPr>
              <w:t>（元）</w:t>
            </w:r>
          </w:p>
        </w:tc>
        <w:tc>
          <w:tcPr>
            <w:tcW w:w="2105"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单项</w:t>
            </w:r>
          </w:p>
          <w:p>
            <w:pPr>
              <w:spacing w:line="360" w:lineRule="auto"/>
              <w:jc w:val="center"/>
              <w:textAlignment w:val="baseline"/>
              <w:rPr>
                <w:rFonts w:ascii="仿宋" w:hAnsi="仿宋" w:eastAsia="仿宋" w:cs="仿宋"/>
                <w:sz w:val="24"/>
              </w:rPr>
            </w:pPr>
            <w:r>
              <w:rPr>
                <w:rFonts w:hint="eastAsia" w:ascii="仿宋" w:hAnsi="仿宋" w:eastAsia="仿宋" w:cs="仿宋"/>
                <w:sz w:val="24"/>
              </w:rPr>
              <w:t>合计价</w:t>
            </w:r>
          </w:p>
          <w:p>
            <w:pPr>
              <w:spacing w:line="360" w:lineRule="auto"/>
              <w:jc w:val="center"/>
              <w:textAlignment w:val="baseline"/>
              <w:rPr>
                <w:rFonts w:ascii="仿宋" w:hAnsi="仿宋" w:eastAsia="仿宋" w:cs="仿宋"/>
                <w:sz w:val="24"/>
              </w:rPr>
            </w:pPr>
            <w:r>
              <w:rPr>
                <w:rFonts w:hint="eastAsia" w:ascii="仿宋" w:hAnsi="仿宋" w:eastAsia="仿宋" w:cs="仿宋"/>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9239" w:type="dxa"/>
            <w:gridSpan w:val="6"/>
            <w:vAlign w:val="center"/>
          </w:tcPr>
          <w:p>
            <w:pPr>
              <w:spacing w:line="360" w:lineRule="auto"/>
              <w:jc w:val="left"/>
              <w:textAlignment w:val="baseline"/>
              <w:rPr>
                <w:rFonts w:ascii="仿宋" w:hAnsi="仿宋" w:eastAsia="仿宋" w:cs="仿宋"/>
                <w:b/>
                <w:bCs/>
                <w:kern w:val="0"/>
                <w:sz w:val="24"/>
                <w:szCs w:val="24"/>
              </w:rPr>
            </w:pPr>
            <w:r>
              <w:rPr>
                <w:rFonts w:hint="eastAsia" w:ascii="仿宋" w:hAnsi="仿宋" w:eastAsia="仿宋" w:cs="仿宋"/>
                <w:b/>
                <w:bCs/>
                <w:kern w:val="0"/>
                <w:sz w:val="24"/>
                <w:szCs w:val="24"/>
              </w:rPr>
              <w:t>磋商报价总计（小写）：</w:t>
            </w:r>
          </w:p>
          <w:p>
            <w:pPr>
              <w:pStyle w:val="4"/>
              <w:ind w:firstLine="1440" w:firstLineChars="600"/>
              <w:textAlignment w:val="baseline"/>
              <w:rPr>
                <w:rFonts w:ascii="仿宋" w:hAnsi="仿宋" w:eastAsia="仿宋" w:cs="仿宋"/>
              </w:rPr>
            </w:pPr>
            <w:r>
              <w:rPr>
                <w:rFonts w:hint="eastAsia" w:ascii="仿宋" w:hAnsi="仿宋" w:eastAsia="仿宋" w:cs="仿宋"/>
                <w:sz w:val="24"/>
                <w:szCs w:val="24"/>
              </w:rPr>
              <w:t>（大写）：</w:t>
            </w:r>
          </w:p>
        </w:tc>
      </w:tr>
    </w:tbl>
    <w:p>
      <w:pPr>
        <w:pStyle w:val="14"/>
        <w:ind w:firstLine="0" w:firstLineChars="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14"/>
        <w:spacing w:line="0" w:lineRule="atLeast"/>
        <w:ind w:firstLine="48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供应商全称（盖章）：</w:t>
      </w:r>
    </w:p>
    <w:p>
      <w:pPr>
        <w:pStyle w:val="14"/>
        <w:spacing w:line="0" w:lineRule="atLeast"/>
        <w:ind w:firstLine="48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法定代表人或者授权代表（签字或盖章）：                 </w:t>
      </w:r>
    </w:p>
    <w:p>
      <w:pPr>
        <w:spacing w:line="360" w:lineRule="auto"/>
        <w:jc w:val="righ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日期：    年   月    日</w:t>
      </w:r>
    </w:p>
    <w:p>
      <w:pPr>
        <w:spacing w:line="0" w:lineRule="atLeast"/>
        <w:rPr>
          <w:rFonts w:ascii="仿宋" w:hAnsi="仿宋" w:eastAsia="仿宋" w:cs="仿宋"/>
          <w:b/>
          <w:bCs/>
          <w:color w:val="000000" w:themeColor="text1"/>
          <w14:textFill>
            <w14:solidFill>
              <w14:schemeClr w14:val="tx1"/>
            </w14:solidFill>
          </w14:textFill>
        </w:rPr>
      </w:pPr>
    </w:p>
    <w:p>
      <w:pPr>
        <w:spacing w:line="0" w:lineRule="atLeast"/>
        <w:rPr>
          <w:rFonts w:ascii="仿宋" w:hAnsi="仿宋" w:eastAsia="仿宋" w:cs="仿宋"/>
          <w:b/>
          <w:bCs/>
          <w:color w:val="000000" w:themeColor="text1"/>
          <w14:textFill>
            <w14:solidFill>
              <w14:schemeClr w14:val="tx1"/>
            </w14:solidFill>
          </w14:textFill>
        </w:rPr>
      </w:pPr>
    </w:p>
    <w:p>
      <w:pPr>
        <w:spacing w:line="0" w:lineRule="atLeast"/>
        <w:ind w:firstLine="420" w:firstLineChars="200"/>
        <w:rPr>
          <w:rFonts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价格构成或报价要求：</w:t>
      </w:r>
    </w:p>
    <w:p>
      <w:pPr>
        <w:spacing w:line="0" w:lineRule="atLeast"/>
        <w:ind w:left="210" w:leftChars="100" w:firstLine="420" w:firstLineChars="2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1、此表为表样，行数可自行添加，但表式不变；</w:t>
      </w:r>
    </w:p>
    <w:p>
      <w:pPr>
        <w:spacing w:line="0" w:lineRule="atLeast"/>
        <w:ind w:left="210" w:leftChars="100" w:firstLine="420" w:firstLineChars="2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2、后续服务及其他所有费用由供应商自行计算填列；</w:t>
      </w:r>
    </w:p>
    <w:p>
      <w:pPr>
        <w:spacing w:line="0" w:lineRule="atLeast"/>
        <w:ind w:left="210" w:leftChars="100" w:firstLine="420" w:firstLineChars="2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3、上表中的“报价总计”应当等于“报价一览表”中“报价”。</w:t>
      </w:r>
    </w:p>
    <w:p>
      <w:pPr>
        <w:ind w:firstLine="480" w:firstLineChars="200"/>
        <w:rPr>
          <w:rFonts w:ascii="仿宋" w:hAnsi="仿宋" w:eastAsia="仿宋" w:cs="仿宋"/>
          <w:color w:val="000000" w:themeColor="text1"/>
          <w:sz w:val="24"/>
          <w14:textFill>
            <w14:solidFill>
              <w14:schemeClr w14:val="tx1"/>
            </w14:solidFill>
          </w14:textFill>
        </w:rPr>
      </w:pPr>
    </w:p>
    <w:p>
      <w:pPr>
        <w:pStyle w:val="14"/>
        <w:ind w:firstLine="48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14"/>
        <w:ind w:firstLine="48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14"/>
        <w:ind w:firstLine="48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54" w:name="_Toc30778"/>
      <w:bookmarkStart w:id="255" w:name="_Toc3393"/>
      <w:bookmarkStart w:id="256" w:name="_Toc9513"/>
      <w:bookmarkStart w:id="257" w:name="_Toc15205"/>
      <w:bookmarkStart w:id="258" w:name="_Toc5653"/>
      <w:bookmarkStart w:id="259" w:name="_Toc25170488"/>
      <w:bookmarkStart w:id="260" w:name="_Toc24951"/>
      <w:r>
        <w:rPr>
          <w:rFonts w:hint="eastAsia" w:ascii="仿宋" w:hAnsi="仿宋" w:eastAsia="仿宋" w:cs="仿宋"/>
          <w:color w:val="000000" w:themeColor="text1"/>
          <w:sz w:val="32"/>
          <w:szCs w:val="32"/>
          <w14:textFill>
            <w14:solidFill>
              <w14:schemeClr w14:val="tx1"/>
            </w14:solidFill>
          </w14:textFill>
        </w:rPr>
        <w:t>四、商务要求响应表</w:t>
      </w:r>
      <w:bookmarkEnd w:id="254"/>
      <w:bookmarkEnd w:id="255"/>
      <w:bookmarkEnd w:id="256"/>
      <w:bookmarkEnd w:id="257"/>
      <w:bookmarkEnd w:id="258"/>
      <w:bookmarkEnd w:id="259"/>
      <w:bookmarkEnd w:id="260"/>
    </w:p>
    <w:p>
      <w:pPr>
        <w:rPr>
          <w:rFonts w:ascii="仿宋" w:hAnsi="仿宋" w:eastAsia="仿宋" w:cs="仿宋"/>
          <w:color w:val="000000" w:themeColor="text1"/>
          <w14:textFill>
            <w14:solidFill>
              <w14:schemeClr w14:val="tx1"/>
            </w14:solidFill>
          </w14:textFill>
        </w:rPr>
      </w:pPr>
    </w:p>
    <w:tbl>
      <w:tblPr>
        <w:tblStyle w:val="15"/>
        <w:tblW w:w="951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7"/>
        <w:gridCol w:w="1614"/>
        <w:gridCol w:w="2681"/>
        <w:gridCol w:w="2963"/>
        <w:gridCol w:w="155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序号</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商务要求条目</w:t>
            </w:r>
          </w:p>
        </w:tc>
        <w:tc>
          <w:tcPr>
            <w:tcW w:w="268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磋商文件中的商务要求</w:t>
            </w:r>
          </w:p>
        </w:tc>
        <w:tc>
          <w:tcPr>
            <w:tcW w:w="29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响应供应商的承诺或说明</w:t>
            </w:r>
          </w:p>
        </w:tc>
        <w:tc>
          <w:tcPr>
            <w:tcW w:w="155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偏离情况</w:t>
            </w:r>
          </w:p>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1</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2</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3</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4</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5</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6</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themeColor="text1"/>
                <w:sz w:val="22"/>
                <w:szCs w:val="22"/>
                <w14:textFill>
                  <w14:solidFill>
                    <w14:schemeClr w14:val="tx1"/>
                  </w14:solidFill>
                </w14:textFill>
              </w:rPr>
            </w:pP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61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6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296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c>
          <w:tcPr>
            <w:tcW w:w="15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themeColor="text1"/>
                <w:sz w:val="22"/>
                <w:szCs w:val="22"/>
                <w14:textFill>
                  <w14:solidFill>
                    <w14:schemeClr w14:val="tx1"/>
                  </w14:solidFill>
                </w14:textFill>
              </w:rPr>
            </w:pPr>
          </w:p>
        </w:tc>
      </w:tr>
    </w:tbl>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供应商名称（加盖公章）：</w:t>
      </w:r>
    </w:p>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法定代表人（授权代表）签章：</w:t>
      </w:r>
    </w:p>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日期：</w:t>
      </w:r>
    </w:p>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p>
    <w:p>
      <w:pPr>
        <w:pStyle w:val="14"/>
        <w:ind w:firstLine="480"/>
        <w:rPr>
          <w:rFonts w:ascii="仿宋" w:hAnsi="仿宋" w:eastAsia="仿宋" w:cs="仿宋"/>
          <w:color w:val="000000" w:themeColor="text1"/>
          <w:sz w:val="24"/>
          <w:szCs w:val="24"/>
          <w14:textFill>
            <w14:solidFill>
              <w14:schemeClr w14:val="tx1"/>
            </w14:solidFill>
          </w14:textFill>
        </w:rPr>
      </w:pPr>
    </w:p>
    <w:p>
      <w:pPr>
        <w:rPr>
          <w:rFonts w:ascii="仿宋" w:hAnsi="仿宋" w:eastAsia="仿宋" w:cs="仿宋"/>
          <w:color w:val="000000" w:themeColor="text1"/>
          <w14:textFill>
            <w14:solidFill>
              <w14:schemeClr w14:val="tx1"/>
            </w14:solidFill>
          </w14:textFill>
        </w:rPr>
      </w:pPr>
    </w:p>
    <w:p>
      <w:pPr>
        <w:pStyle w:val="14"/>
        <w:ind w:firstLine="480"/>
        <w:rPr>
          <w:rFonts w:ascii="仿宋" w:hAnsi="仿宋" w:eastAsia="仿宋" w:cs="仿宋"/>
          <w:color w:val="000000" w:themeColor="text1"/>
          <w:sz w:val="24"/>
          <w:szCs w:val="24"/>
          <w14:textFill>
            <w14:solidFill>
              <w14:schemeClr w14:val="tx1"/>
            </w14:solidFill>
          </w14:textFill>
        </w:rPr>
      </w:pPr>
    </w:p>
    <w:p>
      <w:pPr>
        <w:rPr>
          <w:rFonts w:ascii="仿宋" w:hAnsi="仿宋" w:eastAsia="仿宋" w:cs="仿宋"/>
          <w:color w:val="000000" w:themeColor="text1"/>
          <w14:textFill>
            <w14:solidFill>
              <w14:schemeClr w14:val="tx1"/>
            </w14:solidFill>
          </w14:textFill>
        </w:rPr>
      </w:pPr>
    </w:p>
    <w:p>
      <w:pPr>
        <w:spacing w:line="0" w:lineRule="atLeast"/>
        <w:ind w:left="210" w:leftChars="100"/>
        <w:rPr>
          <w:rFonts w:ascii="仿宋" w:hAnsi="仿宋" w:eastAsia="仿宋" w:cs="仿宋"/>
          <w:color w:val="000000" w:themeColor="text1"/>
          <w14:textFill>
            <w14:solidFill>
              <w14:schemeClr w14:val="tx1"/>
            </w14:solidFill>
          </w14:textFill>
        </w:rPr>
      </w:pPr>
      <w:bookmarkStart w:id="261" w:name="_Toc7905"/>
      <w:bookmarkStart w:id="262" w:name="_Toc23648"/>
      <w:bookmarkStart w:id="263" w:name="_Toc14697"/>
      <w:bookmarkStart w:id="264" w:name="_Toc17110"/>
      <w:bookmarkStart w:id="265" w:name="_Toc11058"/>
      <w:bookmarkStart w:id="266" w:name="_Toc18307"/>
      <w:bookmarkStart w:id="267" w:name="_Toc5273"/>
    </w:p>
    <w:p>
      <w:pPr>
        <w:spacing w:line="0" w:lineRule="atLeast"/>
        <w:ind w:left="210" w:leftChars="100"/>
        <w:rPr>
          <w:rFonts w:ascii="仿宋" w:hAnsi="仿宋" w:eastAsia="仿宋" w:cs="仿宋"/>
          <w:color w:val="000000" w:themeColor="text1"/>
          <w14:textFill>
            <w14:solidFill>
              <w14:schemeClr w14:val="tx1"/>
            </w14:solidFill>
          </w14:textFill>
        </w:rPr>
      </w:pPr>
    </w:p>
    <w:p>
      <w:pPr>
        <w:spacing w:line="0" w:lineRule="atLeast"/>
        <w:ind w:left="210" w:leftChars="1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填写说明：</w:t>
      </w:r>
    </w:p>
    <w:p>
      <w:pPr>
        <w:spacing w:line="0" w:lineRule="atLeast"/>
        <w:ind w:left="210" w:leftChars="1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1 \* GB3</w:instrText>
      </w:r>
      <w:r>
        <w:rPr>
          <w:rFonts w:hint="eastAsia" w:ascii="仿宋" w:hAnsi="仿宋" w:eastAsia="仿宋" w:cs="仿宋"/>
          <w:color w:val="000000" w:themeColor="text1"/>
          <w14:textFill>
            <w14:solidFill>
              <w14:schemeClr w14:val="tx1"/>
            </w14:solidFill>
          </w14:textFill>
        </w:rPr>
        <w:fldChar w:fldCharType="separate"/>
      </w:r>
      <w:r>
        <w:rPr>
          <w:rFonts w:hint="eastAsia" w:ascii="仿宋" w:hAnsi="仿宋" w:eastAsia="仿宋" w:cs="仿宋"/>
          <w:color w:val="000000" w:themeColor="text1"/>
          <w14:textFill>
            <w14:solidFill>
              <w14:schemeClr w14:val="tx1"/>
            </w14:solidFill>
          </w14:textFill>
        </w:rPr>
        <w:t>①</w:t>
      </w:r>
      <w:r>
        <w:rPr>
          <w:rFonts w:hint="eastAsia" w:ascii="仿宋" w:hAnsi="仿宋" w:eastAsia="仿宋" w:cs="仿宋"/>
          <w:color w:val="000000" w:themeColor="text1"/>
          <w14:textFill>
            <w14:solidFill>
              <w14:schemeClr w14:val="tx1"/>
            </w14:solidFill>
          </w14:textFill>
        </w:rPr>
        <w:fldChar w:fldCharType="end"/>
      </w:r>
      <w:r>
        <w:rPr>
          <w:rFonts w:hint="eastAsia" w:ascii="仿宋" w:hAnsi="仿宋" w:eastAsia="仿宋" w:cs="仿宋"/>
          <w:color w:val="000000" w:themeColor="text1"/>
          <w14:textFill>
            <w14:solidFill>
              <w14:schemeClr w14:val="tx1"/>
            </w14:solidFill>
          </w14:textFill>
        </w:rPr>
        <w:t>此表为表样，行数可自行添加，但表式不变。</w:t>
      </w:r>
    </w:p>
    <w:p>
      <w:pPr>
        <w:spacing w:line="0" w:lineRule="atLeast"/>
        <w:ind w:left="210" w:leftChars="1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2 \* GB3</w:instrText>
      </w:r>
      <w:r>
        <w:rPr>
          <w:rFonts w:hint="eastAsia" w:ascii="仿宋" w:hAnsi="仿宋" w:eastAsia="仿宋" w:cs="仿宋"/>
          <w:color w:val="000000" w:themeColor="text1"/>
          <w14:textFill>
            <w14:solidFill>
              <w14:schemeClr w14:val="tx1"/>
            </w14:solidFill>
          </w14:textFill>
        </w:rPr>
        <w:fldChar w:fldCharType="separate"/>
      </w:r>
      <w:r>
        <w:rPr>
          <w:rFonts w:hint="eastAsia" w:ascii="仿宋" w:hAnsi="仿宋" w:eastAsia="仿宋" w:cs="仿宋"/>
          <w:color w:val="000000" w:themeColor="text1"/>
          <w14:textFill>
            <w14:solidFill>
              <w14:schemeClr w14:val="tx1"/>
            </w14:solidFill>
          </w14:textFill>
        </w:rPr>
        <w:t>②</w:t>
      </w:r>
      <w:r>
        <w:rPr>
          <w:rFonts w:hint="eastAsia" w:ascii="仿宋" w:hAnsi="仿宋" w:eastAsia="仿宋" w:cs="仿宋"/>
          <w:color w:val="000000" w:themeColor="text1"/>
          <w14:textFill>
            <w14:solidFill>
              <w14:schemeClr w14:val="tx1"/>
            </w14:solidFill>
          </w14:textFill>
        </w:rPr>
        <w:fldChar w:fldCharType="end"/>
      </w:r>
      <w:r>
        <w:rPr>
          <w:rFonts w:hint="eastAsia" w:ascii="仿宋" w:hAnsi="仿宋" w:eastAsia="仿宋" w:cs="仿宋"/>
          <w:color w:val="000000" w:themeColor="text1"/>
          <w14:textFill>
            <w14:solidFill>
              <w14:schemeClr w14:val="tx1"/>
            </w14:solidFill>
          </w14:textFill>
        </w:rPr>
        <w:t>是否偏离用符号“+、-”分别表示正偏离、负偏离。</w:t>
      </w:r>
    </w:p>
    <w:p>
      <w:pPr>
        <w:spacing w:line="0" w:lineRule="atLeast"/>
        <w:ind w:left="210" w:leftChars="1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fldChar w:fldCharType="begin"/>
      </w:r>
      <w:r>
        <w:rPr>
          <w:rFonts w:hint="eastAsia" w:ascii="仿宋" w:hAnsi="仿宋" w:eastAsia="仿宋" w:cs="仿宋"/>
          <w:color w:val="000000" w:themeColor="text1"/>
          <w14:textFill>
            <w14:solidFill>
              <w14:schemeClr w14:val="tx1"/>
            </w14:solidFill>
          </w14:textFill>
        </w:rPr>
        <w:instrText xml:space="preserve">= 3 \* GB3</w:instrText>
      </w:r>
      <w:r>
        <w:rPr>
          <w:rFonts w:hint="eastAsia" w:ascii="仿宋" w:hAnsi="仿宋" w:eastAsia="仿宋" w:cs="仿宋"/>
          <w:color w:val="000000" w:themeColor="text1"/>
          <w14:textFill>
            <w14:solidFill>
              <w14:schemeClr w14:val="tx1"/>
            </w14:solidFill>
          </w14:textFill>
        </w:rPr>
        <w:fldChar w:fldCharType="separate"/>
      </w:r>
      <w:r>
        <w:rPr>
          <w:rFonts w:hint="eastAsia" w:ascii="仿宋" w:hAnsi="仿宋" w:eastAsia="仿宋" w:cs="仿宋"/>
          <w:color w:val="000000" w:themeColor="text1"/>
          <w14:textFill>
            <w14:solidFill>
              <w14:schemeClr w14:val="tx1"/>
            </w14:solidFill>
          </w14:textFill>
        </w:rPr>
        <w:t>③</w:t>
      </w:r>
      <w:r>
        <w:rPr>
          <w:rFonts w:hint="eastAsia" w:ascii="仿宋" w:hAnsi="仿宋" w:eastAsia="仿宋" w:cs="仿宋"/>
          <w:color w:val="000000" w:themeColor="text1"/>
          <w14:textFill>
            <w14:solidFill>
              <w14:schemeClr w14:val="tx1"/>
            </w14:solidFill>
          </w14:textFill>
        </w:rPr>
        <w:fldChar w:fldCharType="end"/>
      </w:r>
      <w:r>
        <w:rPr>
          <w:rFonts w:hint="eastAsia" w:ascii="仿宋" w:hAnsi="仿宋" w:eastAsia="仿宋" w:cs="仿宋"/>
          <w:color w:val="000000" w:themeColor="text1"/>
          <w14:textFill>
            <w14:solidFill>
              <w14:schemeClr w14:val="tx1"/>
            </w14:solidFill>
          </w14:textFill>
        </w:rPr>
        <w:t>供应商必须阅读本采购文件中所有商务要求，并列入上表，未列入上表的视为完全响应磋商文件要求。</w:t>
      </w:r>
    </w:p>
    <w:p>
      <w:pPr>
        <w:spacing w:line="0" w:lineRule="atLeast"/>
        <w:ind w:left="210" w:leftChars="1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④若响应文件中出现与此表表述不一致的，以此表为准。</w:t>
      </w:r>
    </w:p>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68" w:name="_Toc24523"/>
      <w:r>
        <w:rPr>
          <w:rFonts w:hint="eastAsia" w:ascii="仿宋" w:hAnsi="仿宋" w:eastAsia="仿宋" w:cs="仿宋"/>
          <w:color w:val="000000" w:themeColor="text1"/>
          <w:sz w:val="32"/>
          <w:szCs w:val="32"/>
          <w14:textFill>
            <w14:solidFill>
              <w14:schemeClr w14:val="tx1"/>
            </w14:solidFill>
          </w14:textFill>
        </w:rPr>
        <w:t>五、</w:t>
      </w:r>
      <w:bookmarkEnd w:id="261"/>
      <w:bookmarkEnd w:id="262"/>
      <w:bookmarkEnd w:id="263"/>
      <w:bookmarkEnd w:id="264"/>
      <w:bookmarkEnd w:id="265"/>
      <w:bookmarkEnd w:id="266"/>
      <w:bookmarkEnd w:id="267"/>
      <w:bookmarkEnd w:id="268"/>
      <w:r>
        <w:rPr>
          <w:rFonts w:hint="eastAsia" w:ascii="仿宋" w:hAnsi="仿宋" w:eastAsia="仿宋" w:cs="仿宋"/>
          <w:color w:val="000000" w:themeColor="text1"/>
          <w:sz w:val="32"/>
          <w:szCs w:val="32"/>
          <w14:textFill>
            <w14:solidFill>
              <w14:schemeClr w14:val="tx1"/>
            </w14:solidFill>
          </w14:textFill>
        </w:rPr>
        <w:t>技术或服务要求响应表</w:t>
      </w:r>
    </w:p>
    <w:p>
      <w:pPr>
        <w:rPr>
          <w:rFonts w:ascii="仿宋" w:hAnsi="仿宋" w:eastAsia="仿宋" w:cs="仿宋"/>
          <w:color w:val="000000" w:themeColor="text1"/>
          <w14:textFill>
            <w14:solidFill>
              <w14:schemeClr w14:val="tx1"/>
            </w14:solidFill>
          </w14:textFill>
        </w:rPr>
      </w:pPr>
    </w:p>
    <w:tbl>
      <w:tblPr>
        <w:tblStyle w:val="15"/>
        <w:tblW w:w="97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68"/>
        <w:gridCol w:w="2551"/>
        <w:gridCol w:w="1985"/>
        <w:gridCol w:w="23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firstLine="440" w:firstLineChars="200"/>
              <w:jc w:val="left"/>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服务需求条目</w:t>
            </w: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采购文件中的</w:t>
            </w:r>
          </w:p>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服务要求</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供应商</w:t>
            </w:r>
          </w:p>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的承诺或说明</w:t>
            </w: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偏离情况</w:t>
            </w:r>
          </w:p>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5</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6</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7</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8</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（本表可根据需要</w:t>
            </w:r>
          </w:p>
          <w:p>
            <w:pPr>
              <w:widowControl/>
              <w:jc w:val="center"/>
              <w:textAlignment w:val="center"/>
              <w:rPr>
                <w:rFonts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自行添加行）</w:t>
            </w: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themeColor="text1"/>
                <w:sz w:val="22"/>
                <w:szCs w:val="22"/>
                <w14:textFill>
                  <w14:solidFill>
                    <w14:schemeClr w14:val="tx1"/>
                  </w14:solidFill>
                </w14:textFill>
              </w:rPr>
            </w:pPr>
          </w:p>
        </w:tc>
      </w:tr>
    </w:tbl>
    <w:p>
      <w:pPr>
        <w:tabs>
          <w:tab w:val="left" w:pos="142"/>
        </w:tabs>
        <w:spacing w:line="500" w:lineRule="exact"/>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供应商名称（加盖公章）：</w:t>
      </w:r>
    </w:p>
    <w:p>
      <w:pPr>
        <w:tabs>
          <w:tab w:val="left" w:pos="142"/>
        </w:tabs>
        <w:spacing w:line="500" w:lineRule="exact"/>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法定代表人（授权代表）签章：</w:t>
      </w:r>
    </w:p>
    <w:p>
      <w:pPr>
        <w:tabs>
          <w:tab w:val="left" w:pos="142"/>
        </w:tabs>
        <w:spacing w:line="500" w:lineRule="exact"/>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日期：</w:t>
      </w:r>
    </w:p>
    <w:p>
      <w:pPr>
        <w:tabs>
          <w:tab w:val="left" w:pos="142"/>
        </w:tabs>
        <w:spacing w:line="500" w:lineRule="exact"/>
        <w:ind w:firstLine="480" w:firstLineChars="200"/>
        <w:jc w:val="left"/>
        <w:rPr>
          <w:rFonts w:ascii="仿宋" w:hAnsi="仿宋" w:eastAsia="仿宋" w:cs="仿宋"/>
          <w:color w:val="000000" w:themeColor="text1"/>
          <w:sz w:val="24"/>
          <w:szCs w:val="24"/>
          <w14:textFill>
            <w14:solidFill>
              <w14:schemeClr w14:val="tx1"/>
            </w14:solidFill>
          </w14:textFill>
        </w:rPr>
      </w:pPr>
    </w:p>
    <w:p>
      <w:pPr>
        <w:tabs>
          <w:tab w:val="left" w:pos="142"/>
        </w:tabs>
        <w:spacing w:line="500" w:lineRule="exact"/>
        <w:ind w:firstLine="480" w:firstLineChars="200"/>
        <w:jc w:val="left"/>
        <w:rPr>
          <w:rFonts w:ascii="仿宋" w:hAnsi="仿宋" w:eastAsia="仿宋" w:cs="仿宋"/>
          <w:color w:val="000000" w:themeColor="text1"/>
          <w:sz w:val="24"/>
          <w:szCs w:val="24"/>
          <w14:textFill>
            <w14:solidFill>
              <w14:schemeClr w14:val="tx1"/>
            </w14:solidFill>
          </w14:textFill>
        </w:rPr>
      </w:pPr>
    </w:p>
    <w:p>
      <w:pPr>
        <w:tabs>
          <w:tab w:val="left" w:pos="142"/>
        </w:tabs>
        <w:spacing w:line="500" w:lineRule="exact"/>
        <w:ind w:firstLine="480" w:firstLineChars="200"/>
        <w:jc w:val="left"/>
        <w:rPr>
          <w:rFonts w:ascii="仿宋" w:hAnsi="仿宋" w:eastAsia="仿宋" w:cs="仿宋"/>
          <w:color w:val="000000" w:themeColor="text1"/>
          <w:sz w:val="24"/>
          <w:szCs w:val="24"/>
          <w14:textFill>
            <w14:solidFill>
              <w14:schemeClr w14:val="tx1"/>
            </w14:solidFill>
          </w14:textFill>
        </w:rPr>
      </w:pPr>
    </w:p>
    <w:p>
      <w:pPr>
        <w:spacing w:line="400" w:lineRule="exac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填写说明：</w:t>
      </w:r>
    </w:p>
    <w:p>
      <w:pPr>
        <w:spacing w:line="40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1、供应商应按照服务要求逐一说明响应，直接拷贝采购文件服务内容要求的按照无效处理；</w:t>
      </w:r>
    </w:p>
    <w:p>
      <w:pPr>
        <w:spacing w:line="40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2、供应商承诺：除上表中的偏差外，完全响应采购文件的其他条款。</w:t>
      </w:r>
    </w:p>
    <w:p>
      <w:pPr>
        <w:spacing w:line="40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3、如果行数不够，请自行添加。</w:t>
      </w:r>
    </w:p>
    <w:p>
      <w:pPr>
        <w:pStyle w:val="14"/>
        <w:ind w:firstLine="48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14"/>
        <w:ind w:firstLine="48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14"/>
        <w:ind w:firstLine="480"/>
        <w:rPr>
          <w:rFonts w:ascii="仿宋" w:hAnsi="仿宋" w:eastAsia="仿宋" w:cs="仿宋"/>
          <w:color w:val="000000" w:themeColor="text1"/>
          <w:sz w:val="24"/>
          <w14:textFill>
            <w14:solidFill>
              <w14:schemeClr w14:val="tx1"/>
            </w14:solidFill>
          </w14:textFill>
        </w:rPr>
      </w:pPr>
    </w:p>
    <w:p>
      <w:pPr>
        <w:rPr>
          <w:rFonts w:ascii="仿宋" w:hAnsi="仿宋" w:eastAsia="仿宋" w:cs="仿宋"/>
          <w:color w:val="000000" w:themeColor="text1"/>
          <w:sz w:val="24"/>
          <w14:textFill>
            <w14:solidFill>
              <w14:schemeClr w14:val="tx1"/>
            </w14:solidFill>
          </w14:textFill>
        </w:rPr>
      </w:pPr>
    </w:p>
    <w:p>
      <w:pPr>
        <w:pStyle w:val="14"/>
        <w:ind w:firstLine="480"/>
        <w:rPr>
          <w:rFonts w:ascii="仿宋" w:hAnsi="仿宋" w:eastAsia="仿宋" w:cs="仿宋"/>
          <w:color w:val="000000" w:themeColor="text1"/>
          <w:sz w:val="24"/>
          <w14:textFill>
            <w14:solidFill>
              <w14:schemeClr w14:val="tx1"/>
            </w14:solidFill>
          </w14:textFill>
        </w:rPr>
      </w:pPr>
    </w:p>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69" w:name="_Toc32475"/>
      <w:bookmarkStart w:id="270" w:name="_Toc8869"/>
      <w:bookmarkStart w:id="271" w:name="_Toc6890"/>
      <w:bookmarkStart w:id="272" w:name="_Toc10654"/>
      <w:bookmarkStart w:id="273" w:name="_Toc25170489"/>
      <w:bookmarkStart w:id="274" w:name="_Toc2265"/>
      <w:bookmarkStart w:id="275" w:name="_Toc9167"/>
      <w:bookmarkStart w:id="276" w:name="_Toc9727"/>
      <w:r>
        <w:rPr>
          <w:rFonts w:hint="eastAsia" w:ascii="仿宋" w:hAnsi="仿宋" w:eastAsia="仿宋" w:cs="仿宋"/>
          <w:color w:val="000000" w:themeColor="text1"/>
          <w:sz w:val="32"/>
          <w:szCs w:val="32"/>
          <w14:textFill>
            <w14:solidFill>
              <w14:schemeClr w14:val="tx1"/>
            </w14:solidFill>
          </w14:textFill>
        </w:rPr>
        <w:t>六、</w:t>
      </w:r>
      <w:bookmarkEnd w:id="269"/>
      <w:bookmarkEnd w:id="270"/>
      <w:bookmarkEnd w:id="271"/>
      <w:bookmarkEnd w:id="272"/>
      <w:bookmarkEnd w:id="273"/>
      <w:r>
        <w:rPr>
          <w:rFonts w:hint="eastAsia" w:ascii="仿宋" w:hAnsi="仿宋" w:eastAsia="仿宋" w:cs="仿宋"/>
          <w:color w:val="000000" w:themeColor="text1"/>
          <w:sz w:val="32"/>
          <w:szCs w:val="32"/>
          <w14:textFill>
            <w14:solidFill>
              <w14:schemeClr w14:val="tx1"/>
            </w14:solidFill>
          </w14:textFill>
        </w:rPr>
        <w:t>项目实施方案</w:t>
      </w:r>
      <w:bookmarkEnd w:id="274"/>
      <w:bookmarkEnd w:id="275"/>
      <w:bookmarkEnd w:id="276"/>
      <w:r>
        <w:rPr>
          <w:rFonts w:hint="eastAsia" w:ascii="仿宋" w:hAnsi="仿宋" w:eastAsia="仿宋" w:cs="仿宋"/>
        </w:rPr>
        <w:t>（格式自定）</w:t>
      </w:r>
    </w:p>
    <w:p>
      <w:pPr>
        <w:pStyle w:val="20"/>
        <w:spacing w:before="0" w:after="0"/>
        <w:rPr>
          <w:rFonts w:ascii="仿宋" w:hAnsi="仿宋" w:eastAsia="仿宋" w:cs="仿宋"/>
          <w:color w:val="000000" w:themeColor="text1"/>
          <w14:textFill>
            <w14:solidFill>
              <w14:schemeClr w14:val="tx1"/>
            </w14:solidFill>
          </w14:textFill>
        </w:rPr>
      </w:pP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p>
    <w:p>
      <w:pPr>
        <w:spacing w:line="360" w:lineRule="auto"/>
        <w:ind w:firstLine="960" w:firstLineChars="4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供应商名称（加盖公章）：</w:t>
      </w:r>
    </w:p>
    <w:p>
      <w:pPr>
        <w:spacing w:line="360" w:lineRule="auto"/>
        <w:ind w:firstLine="960" w:firstLineChars="4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法定代表人（授权代表）签章：</w:t>
      </w:r>
    </w:p>
    <w:p>
      <w:pPr>
        <w:spacing w:line="360" w:lineRule="auto"/>
        <w:ind w:firstLine="960" w:firstLineChars="400"/>
        <w:rPr>
          <w:rFonts w:ascii="仿宋" w:hAnsi="仿宋" w:eastAsia="仿宋" w:cs="仿宋"/>
          <w:color w:val="000000" w:themeColor="text1"/>
          <w14:textFill>
            <w14:solidFill>
              <w14:schemeClr w14:val="tx1"/>
            </w14:solidFill>
          </w14:textFill>
        </w:rPr>
        <w:sectPr>
          <w:footerReference r:id="rId12" w:type="default"/>
          <w:pgSz w:w="11906" w:h="16838"/>
          <w:pgMar w:top="1440" w:right="1080" w:bottom="1440" w:left="1080" w:header="851" w:footer="992" w:gutter="0"/>
          <w:cols w:space="720" w:num="1"/>
          <w:docGrid w:type="linesAndChars" w:linePitch="312" w:charSpace="0"/>
        </w:sectPr>
      </w:pPr>
      <w:r>
        <w:rPr>
          <w:rFonts w:hint="eastAsia" w:ascii="仿宋" w:hAnsi="仿宋" w:eastAsia="仿宋" w:cs="仿宋"/>
          <w:color w:val="000000" w:themeColor="text1"/>
          <w:sz w:val="24"/>
          <w:szCs w:val="24"/>
          <w14:textFill>
            <w14:solidFill>
              <w14:schemeClr w14:val="tx1"/>
            </w14:solidFill>
          </w14:textFill>
        </w:rPr>
        <w:t>日期：</w:t>
      </w:r>
    </w:p>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77" w:name="_Toc23597"/>
      <w:bookmarkStart w:id="278" w:name="_Toc7824"/>
      <w:bookmarkStart w:id="279" w:name="_Toc13503"/>
      <w:r>
        <w:rPr>
          <w:rFonts w:hint="eastAsia" w:ascii="仿宋" w:hAnsi="仿宋" w:eastAsia="仿宋" w:cs="仿宋"/>
          <w:color w:val="000000" w:themeColor="text1"/>
          <w:sz w:val="32"/>
          <w:szCs w:val="32"/>
          <w14:textFill>
            <w14:solidFill>
              <w14:schemeClr w14:val="tx1"/>
            </w14:solidFill>
          </w14:textFill>
        </w:rPr>
        <w:t>七、服务方案与承诺</w:t>
      </w:r>
      <w:bookmarkEnd w:id="277"/>
      <w:bookmarkEnd w:id="278"/>
      <w:bookmarkEnd w:id="279"/>
    </w:p>
    <w:p>
      <w:pPr>
        <w:pStyle w:val="22"/>
        <w:numPr>
          <w:ilvl w:val="0"/>
          <w:numId w:val="0"/>
        </w:numPr>
        <w:spacing w:beforeLines="100" w:afterLines="100"/>
        <w:jc w:val="center"/>
        <w:outlineLvl w:val="9"/>
        <w:rPr>
          <w:rFonts w:ascii="仿宋" w:hAnsi="仿宋" w:eastAsia="仿宋" w:cs="仿宋"/>
        </w:rPr>
      </w:pPr>
      <w:bookmarkStart w:id="280" w:name="_Toc16974"/>
      <w:bookmarkStart w:id="281" w:name="_Toc2720"/>
      <w:bookmarkStart w:id="282" w:name="_Toc6292"/>
      <w:r>
        <w:rPr>
          <w:rFonts w:hint="eastAsia" w:ascii="仿宋" w:hAnsi="仿宋" w:eastAsia="仿宋" w:cs="仿宋"/>
          <w:color w:val="000000" w:themeColor="text1"/>
          <w:sz w:val="32"/>
          <w:szCs w:val="32"/>
          <w14:textFill>
            <w14:solidFill>
              <w14:schemeClr w14:val="tx1"/>
            </w14:solidFill>
          </w14:textFill>
        </w:rPr>
        <w:t>八、</w:t>
      </w:r>
      <w:bookmarkEnd w:id="280"/>
      <w:bookmarkEnd w:id="281"/>
      <w:bookmarkEnd w:id="282"/>
      <w:r>
        <w:rPr>
          <w:rFonts w:hint="eastAsia" w:ascii="仿宋" w:hAnsi="仿宋" w:eastAsia="仿宋" w:cs="仿宋"/>
        </w:rPr>
        <w:t>技术人员团队</w:t>
      </w:r>
    </w:p>
    <w:tbl>
      <w:tblPr>
        <w:tblStyle w:val="15"/>
        <w:tblW w:w="9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06"/>
        <w:gridCol w:w="2194"/>
        <w:gridCol w:w="1200"/>
        <w:gridCol w:w="3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163"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序号</w:t>
            </w:r>
          </w:p>
        </w:tc>
        <w:tc>
          <w:tcPr>
            <w:tcW w:w="1406"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姓名</w:t>
            </w:r>
          </w:p>
        </w:tc>
        <w:tc>
          <w:tcPr>
            <w:tcW w:w="2194"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在本项目中担任的职务</w:t>
            </w:r>
          </w:p>
        </w:tc>
        <w:tc>
          <w:tcPr>
            <w:tcW w:w="1200"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职称</w:t>
            </w:r>
          </w:p>
        </w:tc>
        <w:tc>
          <w:tcPr>
            <w:tcW w:w="3232"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63" w:type="dxa"/>
            <w:vMerge w:val="restart"/>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1</w:t>
            </w:r>
          </w:p>
        </w:tc>
        <w:tc>
          <w:tcPr>
            <w:tcW w:w="1406" w:type="dxa"/>
            <w:vAlign w:val="center"/>
          </w:tcPr>
          <w:p>
            <w:pPr>
              <w:spacing w:line="360" w:lineRule="auto"/>
              <w:rPr>
                <w:rFonts w:ascii="仿宋" w:hAnsi="仿宋" w:eastAsia="仿宋" w:cs="仿宋"/>
                <w:sz w:val="24"/>
                <w:szCs w:val="24"/>
                <w:lang w:val="zh-CN"/>
              </w:rPr>
            </w:pPr>
          </w:p>
        </w:tc>
        <w:tc>
          <w:tcPr>
            <w:tcW w:w="2194" w:type="dxa"/>
            <w:vAlign w:val="center"/>
          </w:tcPr>
          <w:p>
            <w:pPr>
              <w:spacing w:line="360" w:lineRule="auto"/>
              <w:rPr>
                <w:rFonts w:ascii="仿宋" w:hAnsi="仿宋" w:eastAsia="仿宋" w:cs="仿宋"/>
                <w:sz w:val="24"/>
                <w:szCs w:val="24"/>
                <w:lang w:val="zh-CN"/>
              </w:rPr>
            </w:pPr>
          </w:p>
        </w:tc>
        <w:tc>
          <w:tcPr>
            <w:tcW w:w="1200" w:type="dxa"/>
            <w:vAlign w:val="center"/>
          </w:tcPr>
          <w:p>
            <w:pPr>
              <w:spacing w:line="360" w:lineRule="auto"/>
              <w:rPr>
                <w:rFonts w:ascii="仿宋" w:hAnsi="仿宋" w:eastAsia="仿宋" w:cs="仿宋"/>
                <w:sz w:val="24"/>
                <w:szCs w:val="24"/>
                <w:lang w:val="zh-CN"/>
              </w:rPr>
            </w:pPr>
          </w:p>
        </w:tc>
        <w:tc>
          <w:tcPr>
            <w:tcW w:w="3232" w:type="dxa"/>
            <w:vAlign w:val="center"/>
          </w:tcPr>
          <w:p>
            <w:pPr>
              <w:spacing w:line="360" w:lineRule="auto"/>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63" w:type="dxa"/>
            <w:vMerge w:val="continue"/>
            <w:vAlign w:val="center"/>
          </w:tcPr>
          <w:p>
            <w:pPr>
              <w:spacing w:line="360" w:lineRule="auto"/>
              <w:jc w:val="center"/>
              <w:rPr>
                <w:rFonts w:ascii="仿宋" w:hAnsi="仿宋" w:eastAsia="仿宋" w:cs="仿宋"/>
                <w:sz w:val="24"/>
                <w:szCs w:val="24"/>
                <w:lang w:val="zh-CN"/>
              </w:rPr>
            </w:pPr>
          </w:p>
        </w:tc>
        <w:tc>
          <w:tcPr>
            <w:tcW w:w="1406" w:type="dxa"/>
            <w:vAlign w:val="center"/>
          </w:tcPr>
          <w:p>
            <w:pPr>
              <w:spacing w:line="360" w:lineRule="auto"/>
              <w:rPr>
                <w:rFonts w:ascii="仿宋" w:hAnsi="仿宋" w:eastAsia="仿宋" w:cs="仿宋"/>
                <w:sz w:val="24"/>
                <w:szCs w:val="24"/>
                <w:lang w:val="zh-CN"/>
              </w:rPr>
            </w:pPr>
          </w:p>
        </w:tc>
        <w:tc>
          <w:tcPr>
            <w:tcW w:w="2194" w:type="dxa"/>
            <w:vAlign w:val="center"/>
          </w:tcPr>
          <w:p>
            <w:pPr>
              <w:spacing w:line="360" w:lineRule="auto"/>
              <w:rPr>
                <w:rFonts w:ascii="仿宋" w:hAnsi="仿宋" w:eastAsia="仿宋" w:cs="仿宋"/>
                <w:sz w:val="24"/>
                <w:szCs w:val="24"/>
                <w:lang w:val="zh-CN"/>
              </w:rPr>
            </w:pPr>
            <w:r>
              <w:rPr>
                <w:rFonts w:hint="eastAsia" w:ascii="仿宋" w:hAnsi="仿宋" w:eastAsia="仿宋" w:cs="仿宋"/>
                <w:sz w:val="24"/>
                <w:szCs w:val="24"/>
                <w:lang w:val="zh-CN"/>
              </w:rPr>
              <w:t>……</w:t>
            </w:r>
          </w:p>
        </w:tc>
        <w:tc>
          <w:tcPr>
            <w:tcW w:w="1200" w:type="dxa"/>
            <w:vAlign w:val="center"/>
          </w:tcPr>
          <w:p>
            <w:pPr>
              <w:spacing w:line="360" w:lineRule="auto"/>
              <w:rPr>
                <w:rFonts w:ascii="仿宋" w:hAnsi="仿宋" w:eastAsia="仿宋" w:cs="仿宋"/>
                <w:sz w:val="24"/>
                <w:szCs w:val="24"/>
                <w:lang w:val="zh-CN"/>
              </w:rPr>
            </w:pPr>
          </w:p>
        </w:tc>
        <w:tc>
          <w:tcPr>
            <w:tcW w:w="3232" w:type="dxa"/>
            <w:vAlign w:val="center"/>
          </w:tcPr>
          <w:p>
            <w:pPr>
              <w:spacing w:line="360" w:lineRule="auto"/>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63" w:type="dxa"/>
            <w:vMerge w:val="restart"/>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2</w:t>
            </w:r>
          </w:p>
        </w:tc>
        <w:tc>
          <w:tcPr>
            <w:tcW w:w="1406" w:type="dxa"/>
            <w:vAlign w:val="center"/>
          </w:tcPr>
          <w:p>
            <w:pPr>
              <w:spacing w:line="360" w:lineRule="auto"/>
              <w:rPr>
                <w:rFonts w:ascii="仿宋" w:hAnsi="仿宋" w:eastAsia="仿宋" w:cs="仿宋"/>
                <w:sz w:val="24"/>
                <w:szCs w:val="24"/>
                <w:lang w:val="zh-CN"/>
              </w:rPr>
            </w:pPr>
          </w:p>
        </w:tc>
        <w:tc>
          <w:tcPr>
            <w:tcW w:w="2194" w:type="dxa"/>
            <w:vAlign w:val="center"/>
          </w:tcPr>
          <w:p>
            <w:pPr>
              <w:spacing w:line="360" w:lineRule="auto"/>
              <w:rPr>
                <w:rFonts w:ascii="仿宋" w:hAnsi="仿宋" w:eastAsia="仿宋" w:cs="仿宋"/>
                <w:sz w:val="24"/>
                <w:szCs w:val="24"/>
                <w:lang w:val="zh-CN"/>
              </w:rPr>
            </w:pPr>
          </w:p>
        </w:tc>
        <w:tc>
          <w:tcPr>
            <w:tcW w:w="1200" w:type="dxa"/>
            <w:vAlign w:val="center"/>
          </w:tcPr>
          <w:p>
            <w:pPr>
              <w:spacing w:line="360" w:lineRule="auto"/>
              <w:rPr>
                <w:rFonts w:ascii="仿宋" w:hAnsi="仿宋" w:eastAsia="仿宋" w:cs="仿宋"/>
                <w:sz w:val="24"/>
                <w:szCs w:val="24"/>
                <w:lang w:val="zh-CN"/>
              </w:rPr>
            </w:pPr>
          </w:p>
        </w:tc>
        <w:tc>
          <w:tcPr>
            <w:tcW w:w="3232" w:type="dxa"/>
            <w:vAlign w:val="center"/>
          </w:tcPr>
          <w:p>
            <w:pPr>
              <w:spacing w:line="360" w:lineRule="auto"/>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63" w:type="dxa"/>
            <w:vMerge w:val="continue"/>
            <w:vAlign w:val="center"/>
          </w:tcPr>
          <w:p>
            <w:pPr>
              <w:spacing w:line="360" w:lineRule="auto"/>
              <w:jc w:val="center"/>
              <w:rPr>
                <w:rFonts w:ascii="仿宋" w:hAnsi="仿宋" w:eastAsia="仿宋" w:cs="仿宋"/>
                <w:sz w:val="24"/>
                <w:szCs w:val="24"/>
                <w:lang w:val="zh-CN"/>
              </w:rPr>
            </w:pPr>
          </w:p>
        </w:tc>
        <w:tc>
          <w:tcPr>
            <w:tcW w:w="1406" w:type="dxa"/>
            <w:vAlign w:val="center"/>
          </w:tcPr>
          <w:p>
            <w:pPr>
              <w:spacing w:line="360" w:lineRule="auto"/>
              <w:rPr>
                <w:rFonts w:ascii="仿宋" w:hAnsi="仿宋" w:eastAsia="仿宋" w:cs="仿宋"/>
                <w:sz w:val="24"/>
                <w:szCs w:val="24"/>
                <w:lang w:val="zh-CN"/>
              </w:rPr>
            </w:pPr>
          </w:p>
        </w:tc>
        <w:tc>
          <w:tcPr>
            <w:tcW w:w="2194" w:type="dxa"/>
            <w:vAlign w:val="center"/>
          </w:tcPr>
          <w:p>
            <w:pPr>
              <w:spacing w:line="360" w:lineRule="auto"/>
              <w:rPr>
                <w:rFonts w:ascii="仿宋" w:hAnsi="仿宋" w:eastAsia="仿宋" w:cs="仿宋"/>
                <w:sz w:val="24"/>
                <w:szCs w:val="24"/>
                <w:lang w:val="zh-CN"/>
              </w:rPr>
            </w:pPr>
            <w:r>
              <w:rPr>
                <w:rFonts w:hint="eastAsia" w:ascii="仿宋" w:hAnsi="仿宋" w:eastAsia="仿宋" w:cs="仿宋"/>
                <w:sz w:val="24"/>
                <w:szCs w:val="24"/>
                <w:lang w:val="zh-CN"/>
              </w:rPr>
              <w:t>……</w:t>
            </w:r>
          </w:p>
        </w:tc>
        <w:tc>
          <w:tcPr>
            <w:tcW w:w="1200" w:type="dxa"/>
            <w:vAlign w:val="center"/>
          </w:tcPr>
          <w:p>
            <w:pPr>
              <w:spacing w:line="360" w:lineRule="auto"/>
              <w:rPr>
                <w:rFonts w:ascii="仿宋" w:hAnsi="仿宋" w:eastAsia="仿宋" w:cs="仿宋"/>
                <w:sz w:val="24"/>
                <w:szCs w:val="24"/>
                <w:lang w:val="zh-CN"/>
              </w:rPr>
            </w:pPr>
          </w:p>
        </w:tc>
        <w:tc>
          <w:tcPr>
            <w:tcW w:w="3232" w:type="dxa"/>
            <w:vAlign w:val="center"/>
          </w:tcPr>
          <w:p>
            <w:pPr>
              <w:spacing w:line="360" w:lineRule="auto"/>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63" w:type="dxa"/>
            <w:vMerge w:val="restart"/>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3</w:t>
            </w:r>
          </w:p>
        </w:tc>
        <w:tc>
          <w:tcPr>
            <w:tcW w:w="1406" w:type="dxa"/>
            <w:vAlign w:val="center"/>
          </w:tcPr>
          <w:p>
            <w:pPr>
              <w:spacing w:line="360" w:lineRule="auto"/>
              <w:rPr>
                <w:rFonts w:ascii="仿宋" w:hAnsi="仿宋" w:eastAsia="仿宋" w:cs="仿宋"/>
                <w:sz w:val="24"/>
                <w:szCs w:val="24"/>
                <w:lang w:val="zh-CN"/>
              </w:rPr>
            </w:pPr>
          </w:p>
        </w:tc>
        <w:tc>
          <w:tcPr>
            <w:tcW w:w="2194" w:type="dxa"/>
            <w:vAlign w:val="center"/>
          </w:tcPr>
          <w:p>
            <w:pPr>
              <w:spacing w:line="360" w:lineRule="auto"/>
              <w:rPr>
                <w:rFonts w:ascii="仿宋" w:hAnsi="仿宋" w:eastAsia="仿宋" w:cs="仿宋"/>
                <w:sz w:val="24"/>
                <w:szCs w:val="24"/>
                <w:lang w:val="zh-CN"/>
              </w:rPr>
            </w:pPr>
          </w:p>
        </w:tc>
        <w:tc>
          <w:tcPr>
            <w:tcW w:w="1200" w:type="dxa"/>
            <w:vAlign w:val="center"/>
          </w:tcPr>
          <w:p>
            <w:pPr>
              <w:spacing w:line="360" w:lineRule="auto"/>
              <w:rPr>
                <w:rFonts w:ascii="仿宋" w:hAnsi="仿宋" w:eastAsia="仿宋" w:cs="仿宋"/>
                <w:sz w:val="24"/>
                <w:szCs w:val="24"/>
                <w:lang w:val="zh-CN"/>
              </w:rPr>
            </w:pPr>
          </w:p>
        </w:tc>
        <w:tc>
          <w:tcPr>
            <w:tcW w:w="3232" w:type="dxa"/>
            <w:vAlign w:val="center"/>
          </w:tcPr>
          <w:p>
            <w:pPr>
              <w:spacing w:line="360" w:lineRule="auto"/>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63" w:type="dxa"/>
            <w:vMerge w:val="continue"/>
            <w:vAlign w:val="center"/>
          </w:tcPr>
          <w:p>
            <w:pPr>
              <w:spacing w:line="360" w:lineRule="auto"/>
              <w:rPr>
                <w:rFonts w:ascii="仿宋" w:hAnsi="仿宋" w:eastAsia="仿宋" w:cs="仿宋"/>
                <w:sz w:val="28"/>
                <w:szCs w:val="28"/>
                <w:lang w:val="zh-CN"/>
              </w:rPr>
            </w:pPr>
          </w:p>
        </w:tc>
        <w:tc>
          <w:tcPr>
            <w:tcW w:w="1406" w:type="dxa"/>
            <w:vAlign w:val="center"/>
          </w:tcPr>
          <w:p>
            <w:pPr>
              <w:spacing w:line="360" w:lineRule="auto"/>
              <w:rPr>
                <w:rFonts w:ascii="仿宋" w:hAnsi="仿宋" w:eastAsia="仿宋" w:cs="仿宋"/>
                <w:sz w:val="28"/>
                <w:szCs w:val="28"/>
                <w:lang w:val="zh-CN"/>
              </w:rPr>
            </w:pPr>
          </w:p>
        </w:tc>
        <w:tc>
          <w:tcPr>
            <w:tcW w:w="2194" w:type="dxa"/>
            <w:vAlign w:val="center"/>
          </w:tcPr>
          <w:p>
            <w:pPr>
              <w:spacing w:line="360" w:lineRule="auto"/>
              <w:rPr>
                <w:rFonts w:ascii="仿宋" w:hAnsi="仿宋" w:eastAsia="仿宋" w:cs="仿宋"/>
                <w:sz w:val="28"/>
                <w:szCs w:val="28"/>
                <w:lang w:val="zh-CN"/>
              </w:rPr>
            </w:pPr>
            <w:r>
              <w:rPr>
                <w:rFonts w:hint="eastAsia" w:ascii="仿宋" w:hAnsi="仿宋" w:eastAsia="仿宋" w:cs="仿宋"/>
                <w:sz w:val="28"/>
                <w:szCs w:val="28"/>
                <w:lang w:val="zh-CN"/>
              </w:rPr>
              <w:t>……</w:t>
            </w:r>
          </w:p>
        </w:tc>
        <w:tc>
          <w:tcPr>
            <w:tcW w:w="1200" w:type="dxa"/>
            <w:vAlign w:val="center"/>
          </w:tcPr>
          <w:p>
            <w:pPr>
              <w:spacing w:line="360" w:lineRule="auto"/>
              <w:rPr>
                <w:rFonts w:ascii="仿宋" w:hAnsi="仿宋" w:eastAsia="仿宋" w:cs="仿宋"/>
                <w:sz w:val="28"/>
                <w:szCs w:val="28"/>
                <w:lang w:val="zh-CN"/>
              </w:rPr>
            </w:pPr>
          </w:p>
        </w:tc>
        <w:tc>
          <w:tcPr>
            <w:tcW w:w="3232" w:type="dxa"/>
            <w:vAlign w:val="center"/>
          </w:tcPr>
          <w:p>
            <w:pPr>
              <w:spacing w:line="360" w:lineRule="auto"/>
              <w:rPr>
                <w:rFonts w:ascii="仿宋" w:hAnsi="仿宋" w:eastAsia="仿宋" w:cs="仿宋"/>
                <w:sz w:val="28"/>
                <w:szCs w:val="28"/>
                <w:lang w:val="zh-CN"/>
              </w:rPr>
            </w:pPr>
          </w:p>
        </w:tc>
      </w:tr>
    </w:tbl>
    <w:p>
      <w:pPr>
        <w:rPr>
          <w:rFonts w:ascii="仿宋" w:hAnsi="仿宋" w:eastAsia="仿宋" w:cs="仿宋"/>
          <w:color w:val="000000" w:themeColor="text1"/>
          <w14:textFill>
            <w14:solidFill>
              <w14:schemeClr w14:val="tx1"/>
            </w14:solidFill>
          </w14:textFill>
        </w:rPr>
      </w:pPr>
    </w:p>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p>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供应商单位全称（公章):</w:t>
      </w:r>
    </w:p>
    <w:p>
      <w:pPr>
        <w:tabs>
          <w:tab w:val="left" w:pos="142"/>
        </w:tabs>
        <w:spacing w:line="360" w:lineRule="auto"/>
        <w:ind w:firstLine="480" w:firstLineChars="200"/>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法定代表人（授权代表）签章：      </w:t>
      </w:r>
    </w:p>
    <w:p>
      <w:pPr>
        <w:tabs>
          <w:tab w:val="left" w:pos="142"/>
        </w:tabs>
        <w:spacing w:line="360" w:lineRule="auto"/>
        <w:ind w:firstLine="480" w:firstLineChars="200"/>
        <w:jc w:val="left"/>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日期：</w:t>
      </w:r>
      <w:r>
        <w:rPr>
          <w:rFonts w:hint="eastAsia" w:ascii="仿宋" w:hAnsi="仿宋" w:eastAsia="仿宋" w:cs="仿宋"/>
          <w:b/>
          <w:bCs/>
          <w:color w:val="000000" w:themeColor="text1"/>
          <w:sz w:val="28"/>
          <w:szCs w:val="28"/>
          <w14:textFill>
            <w14:solidFill>
              <w14:schemeClr w14:val="tx1"/>
            </w14:solidFill>
          </w14:textFill>
        </w:rPr>
        <w:br w:type="page"/>
      </w:r>
    </w:p>
    <w:p>
      <w:pPr>
        <w:pStyle w:val="22"/>
        <w:pageBreakBefore/>
        <w:numPr>
          <w:ilvl w:val="0"/>
          <w:numId w:val="0"/>
        </w:numPr>
        <w:spacing w:line="360" w:lineRule="auto"/>
        <w:jc w:val="center"/>
        <w:rPr>
          <w:rFonts w:ascii="仿宋" w:hAnsi="仿宋" w:eastAsia="仿宋" w:cs="仿宋"/>
          <w:color w:val="000000" w:themeColor="text1"/>
          <w:sz w:val="32"/>
          <w:szCs w:val="32"/>
          <w14:textFill>
            <w14:solidFill>
              <w14:schemeClr w14:val="tx1"/>
            </w14:solidFill>
          </w14:textFill>
        </w:rPr>
      </w:pPr>
      <w:bookmarkStart w:id="283" w:name="_Toc25170491"/>
      <w:bookmarkStart w:id="284" w:name="_Toc11377"/>
      <w:bookmarkStart w:id="285" w:name="_Toc27795"/>
      <w:bookmarkStart w:id="286" w:name="_Toc3708"/>
      <w:bookmarkStart w:id="287" w:name="_Toc4743"/>
      <w:bookmarkStart w:id="288" w:name="_Toc1700"/>
      <w:r>
        <w:rPr>
          <w:rFonts w:hint="eastAsia" w:ascii="仿宋" w:hAnsi="仿宋" w:eastAsia="仿宋" w:cs="仿宋"/>
          <w:color w:val="000000" w:themeColor="text1"/>
          <w:sz w:val="32"/>
          <w:szCs w:val="32"/>
          <w14:textFill>
            <w14:solidFill>
              <w14:schemeClr w14:val="tx1"/>
            </w14:solidFill>
          </w14:textFill>
        </w:rPr>
        <w:t>九、</w:t>
      </w:r>
      <w:bookmarkEnd w:id="252"/>
      <w:bookmarkEnd w:id="253"/>
      <w:bookmarkEnd w:id="283"/>
      <w:bookmarkEnd w:id="284"/>
      <w:bookmarkEnd w:id="285"/>
      <w:bookmarkStart w:id="289" w:name="_Toc3621"/>
      <w:bookmarkStart w:id="290" w:name="_Toc5613"/>
      <w:bookmarkStart w:id="291" w:name="_Toc12366"/>
      <w:bookmarkStart w:id="292" w:name="_Toc818"/>
      <w:r>
        <w:rPr>
          <w:rFonts w:hint="eastAsia" w:ascii="仿宋" w:hAnsi="仿宋" w:eastAsia="仿宋" w:cs="仿宋"/>
          <w:color w:val="000000" w:themeColor="text1"/>
          <w:sz w:val="32"/>
          <w:szCs w:val="32"/>
          <w14:textFill>
            <w14:solidFill>
              <w14:schemeClr w14:val="tx1"/>
            </w14:solidFill>
          </w14:textFill>
        </w:rPr>
        <w:t>相关附表格式</w:t>
      </w:r>
      <w:bookmarkEnd w:id="286"/>
      <w:bookmarkEnd w:id="287"/>
      <w:bookmarkEnd w:id="288"/>
      <w:bookmarkEnd w:id="289"/>
      <w:bookmarkEnd w:id="290"/>
      <w:bookmarkEnd w:id="291"/>
      <w:bookmarkEnd w:id="292"/>
    </w:p>
    <w:p>
      <w:pPr>
        <w:pStyle w:val="2"/>
        <w:numPr>
          <w:ilvl w:val="1"/>
          <w:numId w:val="0"/>
        </w:numPr>
        <w:spacing w:before="0" w:after="0" w:line="360" w:lineRule="auto"/>
        <w:rPr>
          <w:rFonts w:ascii="仿宋" w:hAnsi="仿宋" w:eastAsia="仿宋" w:cs="仿宋"/>
          <w:color w:val="000000" w:themeColor="text1"/>
          <w:sz w:val="28"/>
          <w:szCs w:val="28"/>
          <w14:textFill>
            <w14:solidFill>
              <w14:schemeClr w14:val="tx1"/>
            </w14:solidFill>
          </w14:textFill>
        </w:rPr>
      </w:pPr>
      <w:bookmarkStart w:id="293" w:name="_Toc30587"/>
      <w:bookmarkStart w:id="294" w:name="_Toc5022"/>
      <w:bookmarkStart w:id="295" w:name="_Toc28957"/>
      <w:bookmarkStart w:id="296" w:name="_Toc4712"/>
      <w:bookmarkStart w:id="297" w:name="_Toc7059"/>
      <w:r>
        <w:rPr>
          <w:rFonts w:hint="eastAsia" w:ascii="仿宋" w:hAnsi="仿宋" w:eastAsia="仿宋" w:cs="仿宋"/>
          <w:color w:val="000000" w:themeColor="text1"/>
          <w:sz w:val="28"/>
          <w:szCs w:val="28"/>
          <w14:textFill>
            <w14:solidFill>
              <w14:schemeClr w14:val="tx1"/>
            </w14:solidFill>
          </w14:textFill>
        </w:rPr>
        <w:t>附 件1: 法人授权委托书</w:t>
      </w:r>
      <w:bookmarkEnd w:id="293"/>
      <w:bookmarkEnd w:id="294"/>
      <w:bookmarkEnd w:id="295"/>
      <w:bookmarkEnd w:id="296"/>
      <w:bookmarkEnd w:id="297"/>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南京达琛鑫工程咨询有限公司：</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本授权书宣告：</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委托单位：</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 地    址：</w:t>
      </w:r>
      <w:r>
        <w:rPr>
          <w:rFonts w:hint="eastAsia" w:ascii="仿宋" w:hAnsi="仿宋" w:eastAsia="仿宋" w:cs="仿宋"/>
          <w:color w:val="000000" w:themeColor="text1"/>
          <w:sz w:val="24"/>
          <w:szCs w:val="24"/>
          <w:u w:val="single"/>
          <w14:textFill>
            <w14:solidFill>
              <w14:schemeClr w14:val="tx1"/>
            </w14:solidFill>
          </w14:textFill>
        </w:rPr>
        <w:t xml:space="preserve">                       </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法定代表人：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 受托人：</w:t>
      </w:r>
      <w:r>
        <w:rPr>
          <w:rFonts w:hint="eastAsia" w:ascii="仿宋" w:hAnsi="仿宋" w:eastAsia="仿宋" w:cs="仿宋"/>
          <w:color w:val="000000" w:themeColor="text1"/>
          <w:sz w:val="24"/>
          <w:szCs w:val="24"/>
          <w:u w:val="single"/>
          <w14:textFill>
            <w14:solidFill>
              <w14:schemeClr w14:val="tx1"/>
            </w14:solidFill>
          </w14:textFill>
        </w:rPr>
        <w:t xml:space="preserve">                         </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出生日期：</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年</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月</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日</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所在单位：</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   职务：</w:t>
      </w:r>
      <w:r>
        <w:rPr>
          <w:rFonts w:hint="eastAsia" w:ascii="仿宋" w:hAnsi="仿宋" w:eastAsia="仿宋" w:cs="仿宋"/>
          <w:color w:val="000000" w:themeColor="text1"/>
          <w:sz w:val="24"/>
          <w:szCs w:val="24"/>
          <w:u w:val="single"/>
          <w14:textFill>
            <w14:solidFill>
              <w14:schemeClr w14:val="tx1"/>
            </w14:solidFill>
          </w14:textFill>
        </w:rPr>
        <w:t xml:space="preserve">                         </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身 份 证：</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   联系方式: </w:t>
      </w:r>
      <w:r>
        <w:rPr>
          <w:rFonts w:hint="eastAsia" w:ascii="仿宋" w:hAnsi="仿宋" w:eastAsia="仿宋" w:cs="仿宋"/>
          <w:color w:val="000000" w:themeColor="text1"/>
          <w:sz w:val="24"/>
          <w:szCs w:val="24"/>
          <w:u w:val="single"/>
          <w14:textFill>
            <w14:solidFill>
              <w14:schemeClr w14:val="tx1"/>
            </w14:solidFill>
          </w14:textFill>
        </w:rPr>
        <w:t xml:space="preserve">                     </w:t>
      </w: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兹委托受托人合法地代表我单位参加南京达琛鑫工程咨询有限公司组织的（采购编号为：NJDCX-202311221356）存储系统更新项目的采购活动，受托人有权在该磋商活动中，以我单位的名义签署磋商函和磋商文件，与采购代理机构协商、澄清、解释，质疑，签订合同书并执行一切与此有关的事项。</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受托人在办理上述事宜过程中以其自己的名义所签署的所有文件我均予以承认。受托人无转委托权。</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委托期限：至上述事宜处理完毕止。</w:t>
      </w:r>
    </w:p>
    <w:p>
      <w:pPr>
        <w:spacing w:line="360" w:lineRule="auto"/>
        <w:jc w:val="left"/>
        <w:rPr>
          <w:rFonts w:ascii="仿宋" w:hAnsi="仿宋" w:eastAsia="仿宋" w:cs="仿宋"/>
          <w:color w:val="000000" w:themeColor="text1"/>
          <w:sz w:val="24"/>
          <w:szCs w:val="24"/>
          <w14:textFill>
            <w14:solidFill>
              <w14:schemeClr w14:val="tx1"/>
            </w14:solidFill>
          </w14:textFill>
        </w:rPr>
      </w:pPr>
    </w:p>
    <w:p>
      <w:pPr>
        <w:wordWrap w:val="0"/>
        <w:spacing w:line="360" w:lineRule="auto"/>
        <w:jc w:val="righ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委托单位   （公章）：               </w:t>
      </w:r>
    </w:p>
    <w:p>
      <w:pPr>
        <w:wordWrap w:val="0"/>
        <w:spacing w:line="360" w:lineRule="auto"/>
        <w:ind w:left="4080" w:hanging="4080" w:hangingChars="1700"/>
        <w:jc w:val="righ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法定代表人（签字或盖章）：          </w:t>
      </w:r>
    </w:p>
    <w:p>
      <w:pPr>
        <w:spacing w:line="360" w:lineRule="auto"/>
        <w:ind w:left="4080" w:hanging="4080" w:hangingChars="17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2023年  月  日</w:t>
      </w:r>
    </w:p>
    <w:p>
      <w:pPr>
        <w:spacing w:line="0" w:lineRule="atLeast"/>
        <w:rPr>
          <w:rFonts w:ascii="仿宋" w:hAnsi="仿宋" w:eastAsia="仿宋" w:cs="仿宋"/>
          <w:color w:val="000000" w:themeColor="text1"/>
          <w:sz w:val="24"/>
          <w:szCs w:val="24"/>
          <w14:textFill>
            <w14:solidFill>
              <w14:schemeClr w14:val="tx1"/>
            </w14:solidFill>
          </w14:textFill>
        </w:rPr>
      </w:pPr>
    </w:p>
    <w:p>
      <w:pPr>
        <w:spacing w:line="0" w:lineRule="atLeas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备注：</w:t>
      </w:r>
    </w:p>
    <w:p>
      <w:pPr>
        <w:spacing w:line="0" w:lineRule="atLeas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①供应商授权代表须在磋商截止时间前持授权书原件及授权代表身份证件办理签名报到。（磋商文件中须附授权代表及法人的身份证复印件）</w:t>
      </w:r>
    </w:p>
    <w:p>
      <w:pPr>
        <w:spacing w:line="0" w:lineRule="atLeas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②非授权代表办理上述事宜，采购人及代理机构将拒绝。</w:t>
      </w:r>
    </w:p>
    <w:p>
      <w:pPr>
        <w:spacing w:line="0" w:lineRule="atLeas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③供应商法定代表人直接参加磋商的，无须提供法人授权委托书，但须持本人身份证件及营业执照复印件办理相关手续。</w:t>
      </w:r>
    </w:p>
    <w:p>
      <w:pPr>
        <w:spacing w:line="360" w:lineRule="auto"/>
        <w:rPr>
          <w:rFonts w:ascii="仿宋" w:hAnsi="仿宋" w:eastAsia="仿宋" w:cs="仿宋"/>
          <w:b/>
          <w:bCs/>
          <w:color w:val="000000" w:themeColor="text1"/>
          <w:sz w:val="28"/>
          <w:szCs w:val="28"/>
          <w14:textFill>
            <w14:solidFill>
              <w14:schemeClr w14:val="tx1"/>
            </w14:solidFill>
          </w14:textFill>
        </w:rPr>
      </w:pPr>
      <w:bookmarkStart w:id="298" w:name="_Toc30644"/>
      <w:r>
        <w:rPr>
          <w:rFonts w:hint="eastAsia" w:ascii="仿宋" w:hAnsi="仿宋" w:eastAsia="仿宋" w:cs="仿宋"/>
          <w:b/>
          <w:bCs/>
          <w:color w:val="000000" w:themeColor="text1"/>
          <w:sz w:val="28"/>
          <w:szCs w:val="28"/>
          <w14:textFill>
            <w14:solidFill>
              <w14:schemeClr w14:val="tx1"/>
            </w14:solidFill>
          </w14:textFill>
        </w:rPr>
        <w:br w:type="page"/>
      </w:r>
    </w:p>
    <w:bookmarkEnd w:id="298"/>
    <w:p>
      <w:pPr>
        <w:pStyle w:val="2"/>
        <w:pageBreakBefore/>
        <w:numPr>
          <w:ilvl w:val="1"/>
          <w:numId w:val="0"/>
        </w:numPr>
        <w:spacing w:before="0" w:after="0" w:line="360" w:lineRule="auto"/>
        <w:rPr>
          <w:rFonts w:ascii="仿宋" w:hAnsi="仿宋" w:eastAsia="仿宋" w:cs="仿宋"/>
          <w:color w:val="000000" w:themeColor="text1"/>
          <w:sz w:val="28"/>
          <w:szCs w:val="28"/>
          <w14:textFill>
            <w14:solidFill>
              <w14:schemeClr w14:val="tx1"/>
            </w14:solidFill>
          </w14:textFill>
        </w:rPr>
      </w:pPr>
      <w:bookmarkStart w:id="299" w:name="_Toc9521"/>
      <w:bookmarkStart w:id="300" w:name="_Toc9284"/>
      <w:bookmarkStart w:id="301" w:name="_Toc11246"/>
      <w:bookmarkStart w:id="302" w:name="_Toc25170492"/>
      <w:bookmarkStart w:id="303" w:name="_Toc13645"/>
      <w:bookmarkStart w:id="304" w:name="_Toc15181"/>
      <w:bookmarkStart w:id="305" w:name="_Toc28253"/>
      <w:bookmarkStart w:id="306" w:name="_Toc31182"/>
      <w:bookmarkStart w:id="307" w:name="_Toc22295"/>
      <w:bookmarkStart w:id="308" w:name="_Toc9701"/>
      <w:r>
        <w:rPr>
          <w:rFonts w:hint="eastAsia" w:ascii="仿宋" w:hAnsi="仿宋" w:eastAsia="仿宋" w:cs="仿宋"/>
          <w:color w:val="000000" w:themeColor="text1"/>
          <w:sz w:val="28"/>
          <w:szCs w:val="28"/>
          <w14:textFill>
            <w14:solidFill>
              <w14:schemeClr w14:val="tx1"/>
            </w14:solidFill>
          </w14:textFill>
        </w:rPr>
        <w:t>附 件2: 具备履行合同所必需的设备和专业技术能力的书面声明</w:t>
      </w:r>
      <w:bookmarkEnd w:id="299"/>
      <w:bookmarkEnd w:id="300"/>
      <w:bookmarkEnd w:id="301"/>
      <w:bookmarkEnd w:id="302"/>
      <w:bookmarkEnd w:id="303"/>
      <w:bookmarkEnd w:id="304"/>
      <w:bookmarkEnd w:id="305"/>
      <w:bookmarkEnd w:id="306"/>
      <w:bookmarkEnd w:id="307"/>
    </w:p>
    <w:bookmarkEnd w:id="308"/>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ind w:firstLine="492"/>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我公司郑重声明：我公司具备履行本项采购合同所必需的设备和专业技术能力，为履行本项采购合同我公司具备如下主要设备和主要专业技术能力：</w:t>
      </w:r>
    </w:p>
    <w:p>
      <w:pPr>
        <w:spacing w:line="360" w:lineRule="auto"/>
        <w:ind w:firstLine="492"/>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主要设备有：  。</w:t>
      </w:r>
    </w:p>
    <w:p>
      <w:pPr>
        <w:spacing w:line="360" w:lineRule="auto"/>
        <w:ind w:firstLine="492"/>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主要专业技术能力有：   。</w:t>
      </w: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供应商全称（公章）：</w:t>
      </w:r>
    </w:p>
    <w:p>
      <w:pPr>
        <w:spacing w:line="360" w:lineRule="auto"/>
        <w:ind w:firstLine="4560" w:firstLineChars="19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法定代表人或授权代表签字（加盖公章）：</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日期： 年 月 日</w:t>
      </w:r>
    </w:p>
    <w:p>
      <w:pPr>
        <w:pStyle w:val="26"/>
        <w:spacing w:line="360" w:lineRule="auto"/>
        <w:ind w:firstLine="482"/>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p>
    <w:p>
      <w:pPr>
        <w:pStyle w:val="2"/>
        <w:pageBreakBefore/>
        <w:numPr>
          <w:ilvl w:val="1"/>
          <w:numId w:val="0"/>
        </w:numPr>
        <w:spacing w:before="0" w:after="0" w:line="360" w:lineRule="auto"/>
        <w:rPr>
          <w:rFonts w:ascii="仿宋" w:hAnsi="仿宋" w:eastAsia="仿宋" w:cs="仿宋"/>
          <w:color w:val="000000" w:themeColor="text1"/>
          <w:sz w:val="28"/>
          <w:szCs w:val="28"/>
          <w14:textFill>
            <w14:solidFill>
              <w14:schemeClr w14:val="tx1"/>
            </w14:solidFill>
          </w14:textFill>
        </w:rPr>
      </w:pPr>
      <w:bookmarkStart w:id="309" w:name="_Toc190"/>
      <w:bookmarkStart w:id="310" w:name="_Toc18188"/>
      <w:bookmarkStart w:id="311" w:name="_Toc26453"/>
      <w:bookmarkStart w:id="312" w:name="_Toc8367"/>
      <w:bookmarkStart w:id="313" w:name="_Toc15808"/>
      <w:bookmarkStart w:id="314" w:name="_Toc30482"/>
      <w:bookmarkStart w:id="315" w:name="_Toc27202"/>
      <w:bookmarkStart w:id="316" w:name="_Toc25170493"/>
      <w:bookmarkStart w:id="317" w:name="_Toc31694"/>
      <w:bookmarkStart w:id="318" w:name="_Toc22207"/>
      <w:bookmarkStart w:id="319" w:name="_Toc8679"/>
      <w:bookmarkStart w:id="320" w:name="_Toc10944"/>
      <w:r>
        <w:rPr>
          <w:rFonts w:hint="eastAsia" w:ascii="仿宋" w:hAnsi="仿宋" w:eastAsia="仿宋" w:cs="仿宋"/>
          <w:color w:val="000000" w:themeColor="text1"/>
          <w:sz w:val="28"/>
          <w:szCs w:val="28"/>
          <w14:textFill>
            <w14:solidFill>
              <w14:schemeClr w14:val="tx1"/>
            </w14:solidFill>
          </w14:textFill>
        </w:rPr>
        <w:t>附 件</w:t>
      </w:r>
      <w:bookmarkEnd w:id="309"/>
      <w:bookmarkEnd w:id="310"/>
      <w:r>
        <w:rPr>
          <w:rFonts w:hint="eastAsia" w:ascii="仿宋" w:hAnsi="仿宋" w:eastAsia="仿宋" w:cs="仿宋"/>
          <w:color w:val="000000" w:themeColor="text1"/>
          <w:sz w:val="28"/>
          <w:szCs w:val="28"/>
          <w14:textFill>
            <w14:solidFill>
              <w14:schemeClr w14:val="tx1"/>
            </w14:solidFill>
          </w14:textFill>
        </w:rPr>
        <w:t>3：三年内无重大违纪声明</w:t>
      </w:r>
      <w:bookmarkEnd w:id="311"/>
      <w:bookmarkEnd w:id="312"/>
      <w:bookmarkEnd w:id="313"/>
      <w:bookmarkEnd w:id="314"/>
      <w:bookmarkEnd w:id="315"/>
      <w:bookmarkEnd w:id="316"/>
      <w:bookmarkEnd w:id="317"/>
      <w:bookmarkEnd w:id="318"/>
      <w:bookmarkEnd w:id="319"/>
      <w:bookmarkEnd w:id="320"/>
    </w:p>
    <w:p>
      <w:pPr>
        <w:spacing w:line="360" w:lineRule="auto"/>
        <w:jc w:val="center"/>
        <w:rPr>
          <w:rFonts w:ascii="仿宋" w:hAnsi="仿宋" w:eastAsia="仿宋" w:cs="仿宋"/>
          <w:b/>
          <w:bCs/>
          <w:color w:val="000000" w:themeColor="text1"/>
          <w:sz w:val="36"/>
          <w:szCs w:val="36"/>
          <w14:textFill>
            <w14:solidFill>
              <w14:schemeClr w14:val="tx1"/>
            </w14:solidFill>
          </w14:textFill>
        </w:rPr>
      </w:pPr>
    </w:p>
    <w:p>
      <w:pPr>
        <w:spacing w:line="360" w:lineRule="auto"/>
        <w:jc w:val="center"/>
        <w:rPr>
          <w:rFonts w:ascii="仿宋" w:hAnsi="仿宋" w:eastAsia="仿宋" w:cs="仿宋"/>
          <w:color w:val="000000" w:themeColor="text1"/>
          <w:sz w:val="36"/>
          <w:szCs w:val="36"/>
          <w14:textFill>
            <w14:solidFill>
              <w14:schemeClr w14:val="tx1"/>
            </w14:solidFill>
          </w14:textFill>
        </w:rPr>
      </w:pPr>
      <w:r>
        <w:rPr>
          <w:rFonts w:hint="eastAsia" w:ascii="仿宋" w:hAnsi="仿宋" w:eastAsia="仿宋" w:cs="仿宋"/>
          <w:b/>
          <w:bCs/>
          <w:color w:val="000000" w:themeColor="text1"/>
          <w:sz w:val="36"/>
          <w:szCs w:val="36"/>
          <w14:textFill>
            <w14:solidFill>
              <w14:schemeClr w14:val="tx1"/>
            </w14:solidFill>
          </w14:textFill>
        </w:rPr>
        <w:t>声  明</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磋商采购，并承担因此引起的一切后果。</w:t>
      </w: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供应商全称（公章）：</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法定代表人（授权代表）签章：</w:t>
      </w:r>
    </w:p>
    <w:p>
      <w:pPr>
        <w:spacing w:line="360" w:lineRule="auto"/>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日期：</w:t>
      </w:r>
    </w:p>
    <w:p>
      <w:pPr>
        <w:spacing w:line="360" w:lineRule="auto"/>
        <w:rPr>
          <w:rFonts w:ascii="仿宋" w:hAnsi="仿宋" w:eastAsia="仿宋" w:cs="仿宋"/>
          <w:color w:val="000000" w:themeColor="text1"/>
          <w:sz w:val="24"/>
          <w:szCs w:val="24"/>
          <w14:textFill>
            <w14:solidFill>
              <w14:schemeClr w14:val="tx1"/>
            </w14:solidFill>
          </w14:textFill>
        </w:rPr>
      </w:pPr>
    </w:p>
    <w:p>
      <w:pPr>
        <w:spacing w:line="360" w:lineRule="auto"/>
        <w:jc w:val="center"/>
        <w:rPr>
          <w:rFonts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br w:type="page"/>
      </w:r>
    </w:p>
    <w:p>
      <w:pPr>
        <w:pStyle w:val="2"/>
        <w:pageBreakBefore/>
        <w:numPr>
          <w:ilvl w:val="1"/>
          <w:numId w:val="0"/>
        </w:numPr>
        <w:spacing w:before="0" w:after="0" w:line="360" w:lineRule="auto"/>
        <w:rPr>
          <w:rFonts w:ascii="仿宋" w:hAnsi="仿宋" w:eastAsia="仿宋" w:cs="仿宋"/>
          <w:color w:val="000000" w:themeColor="text1"/>
          <w14:textFill>
            <w14:solidFill>
              <w14:schemeClr w14:val="tx1"/>
            </w14:solidFill>
          </w14:textFill>
        </w:rPr>
      </w:pPr>
      <w:bookmarkStart w:id="321" w:name="_Toc16486"/>
      <w:bookmarkStart w:id="322" w:name="_Toc17727"/>
      <w:bookmarkStart w:id="323" w:name="_Toc11098"/>
      <w:bookmarkStart w:id="324" w:name="_Toc8074"/>
      <w:bookmarkStart w:id="325" w:name="_Toc25170494"/>
      <w:bookmarkStart w:id="326" w:name="_Toc14712"/>
      <w:bookmarkStart w:id="327" w:name="_Toc2697"/>
      <w:bookmarkStart w:id="328" w:name="_Toc4338"/>
      <w:bookmarkStart w:id="329" w:name="_Toc26218"/>
      <w:bookmarkStart w:id="330" w:name="_Toc4301"/>
      <w:r>
        <w:rPr>
          <w:rFonts w:hint="eastAsia" w:ascii="仿宋" w:hAnsi="仿宋" w:eastAsia="仿宋" w:cs="仿宋"/>
          <w:color w:val="000000" w:themeColor="text1"/>
          <w:sz w:val="28"/>
          <w:szCs w:val="28"/>
          <w14:textFill>
            <w14:solidFill>
              <w14:schemeClr w14:val="tx1"/>
            </w14:solidFill>
          </w14:textFill>
        </w:rPr>
        <w:t>附 件4：中小企业声明函格式</w:t>
      </w:r>
      <w:bookmarkEnd w:id="321"/>
      <w:bookmarkEnd w:id="322"/>
      <w:bookmarkEnd w:id="323"/>
      <w:bookmarkEnd w:id="324"/>
      <w:bookmarkEnd w:id="325"/>
      <w:bookmarkEnd w:id="326"/>
      <w:bookmarkEnd w:id="327"/>
      <w:bookmarkEnd w:id="328"/>
      <w:bookmarkEnd w:id="329"/>
    </w:p>
    <w:p>
      <w:pPr>
        <w:spacing w:line="360" w:lineRule="auto"/>
        <w:ind w:firstLine="240" w:firstLineChars="10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中小企业声明函(如有)</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本公司（联合体）郑重声明，根据《政府采购促进中小企业发展管理办法》（财库〔2020）46 号）的规定，本公司（联合体）参加（单位名称）的（项目名称）采购活动，货物的提供单位全部为符合政策要求的中小企业（或者∶ 服务全部由符合政策要求的中小企业承接）。相关企业（含联合体中的中小企业、签订分包意向协议的中小企业）的具体情况如下∶</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1.（标的名称），属于（采购文件中明确的所属行业）;承建（承接）企业为（企业名称），从业人员</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人，营业收入为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万元，资产总额为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万元，属于（中型企业、小型企业、微型企业）;</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2.（标的名称），属于（采购文件中明确的所属行业）;承建（承接）企业为（企业名称），从业人员</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人，营业收入为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万元，资产总额为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万元，属于（中型企业、小型企业、微型企业）;</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以上企业，不属于大企业的分支机构，不存在控股股东为大企业的情形，也不存在与大企业的负责人为同一人的情形。</w:t>
      </w:r>
    </w:p>
    <w:p>
      <w:pPr>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本企业对上述声明内容的真实性负责。如有虚假，将依法承担相应责任。</w:t>
      </w: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供应商全称（公章）：</w:t>
      </w: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法定代表人（授权代表）签章：</w:t>
      </w: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日期：</w:t>
      </w: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说明：</w:t>
      </w:r>
    </w:p>
    <w:p>
      <w:pPr>
        <w:spacing w:line="0" w:lineRule="atLeast"/>
        <w:ind w:firstLine="240" w:firstLineChars="1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微型”或“小型”企业的划分具体以《政府采购促进中小企业发展管理办法》（财库[2020]46号）和《工业和信息化部、国家统计局、国家发展和改革委员会、财政部关于印发中小企业划型标准规定的通知》（工信部联企业[2011]300号）的规定为准。</w:t>
      </w:r>
    </w:p>
    <w:p>
      <w:pPr>
        <w:spacing w:line="0" w:lineRule="atLeast"/>
        <w:ind w:firstLine="240" w:firstLineChars="1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2、供应商如不提供此声明函，将不享受相关优惠政策。</w:t>
      </w:r>
    </w:p>
    <w:p>
      <w:pPr>
        <w:spacing w:line="0" w:lineRule="atLeast"/>
        <w:ind w:firstLine="240" w:firstLineChars="100"/>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3、成交供应商为小微企业的，此声明函将随成交结果同时公示，接受社会监督。</w:t>
      </w:r>
    </w:p>
    <w:p>
      <w:pPr>
        <w:spacing w:line="360" w:lineRule="auto"/>
        <w:ind w:firstLine="240" w:firstLineChars="100"/>
        <w:rPr>
          <w:rFonts w:ascii="仿宋" w:hAnsi="仿宋" w:eastAsia="仿宋" w:cs="仿宋"/>
          <w:color w:val="000000" w:themeColor="text1"/>
          <w:sz w:val="24"/>
          <w:szCs w:val="24"/>
          <w14:textFill>
            <w14:solidFill>
              <w14:schemeClr w14:val="tx1"/>
            </w14:solidFill>
          </w14:textFill>
        </w:rPr>
      </w:pPr>
    </w:p>
    <w:p>
      <w:pPr>
        <w:spacing w:line="360" w:lineRule="auto"/>
        <w:rPr>
          <w:rFonts w:ascii="仿宋" w:hAnsi="仿宋" w:eastAsia="仿宋" w:cs="仿宋"/>
          <w:color w:val="000000" w:themeColor="text1"/>
          <w:sz w:val="24"/>
          <w:szCs w:val="24"/>
          <w14:textFill>
            <w14:solidFill>
              <w14:schemeClr w14:val="tx1"/>
            </w14:solidFill>
          </w14:textFill>
        </w:rPr>
      </w:pPr>
    </w:p>
    <w:p>
      <w:pPr>
        <w:pStyle w:val="2"/>
        <w:pageBreakBefore/>
        <w:numPr>
          <w:ilvl w:val="1"/>
          <w:numId w:val="0"/>
        </w:numPr>
        <w:spacing w:before="0" w:after="0" w:line="360" w:lineRule="auto"/>
        <w:rPr>
          <w:rFonts w:ascii="仿宋" w:hAnsi="仿宋" w:eastAsia="仿宋" w:cs="仿宋"/>
          <w:color w:val="000000" w:themeColor="text1"/>
          <w:spacing w:val="6"/>
          <w:sz w:val="30"/>
          <w:szCs w:val="30"/>
          <w14:textFill>
            <w14:solidFill>
              <w14:schemeClr w14:val="tx1"/>
            </w14:solidFill>
          </w14:textFill>
        </w:rPr>
      </w:pPr>
      <w:bookmarkStart w:id="331" w:name="_Toc6655"/>
      <w:bookmarkStart w:id="332" w:name="_Toc20363"/>
      <w:bookmarkStart w:id="333" w:name="_Toc13641"/>
      <w:bookmarkStart w:id="334" w:name="_Toc11427"/>
      <w:bookmarkStart w:id="335" w:name="_Toc2531"/>
      <w:bookmarkStart w:id="336" w:name="_Toc11876"/>
      <w:r>
        <w:rPr>
          <w:rFonts w:hint="eastAsia" w:ascii="仿宋" w:hAnsi="仿宋" w:eastAsia="仿宋" w:cs="仿宋"/>
          <w:color w:val="000000" w:themeColor="text1"/>
          <w:sz w:val="28"/>
          <w:szCs w:val="28"/>
          <w14:textFill>
            <w14:solidFill>
              <w14:schemeClr w14:val="tx1"/>
            </w14:solidFill>
          </w14:textFill>
        </w:rPr>
        <w:t>附 件5：残疾人福利性单位声明函</w:t>
      </w:r>
      <w:bookmarkEnd w:id="331"/>
      <w:bookmarkEnd w:id="332"/>
      <w:bookmarkEnd w:id="333"/>
      <w:bookmarkEnd w:id="334"/>
      <w:bookmarkEnd w:id="335"/>
      <w:bookmarkEnd w:id="336"/>
    </w:p>
    <w:p>
      <w:pPr>
        <w:spacing w:line="588"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本单位郑重声明，根据《财政部 民政部 中国残疾人联合会关于促进残疾人就业政府采购政策的通知》（财库〔2017〕 141号）的规定，本单位为符合条件的残疾人福利性单位，且本单位参加</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单位的采购文件编号为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的</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项目采购活动提供本单位制造的货物（由本单位承担工程/提供服务），或者提供其他残疾人福利性单位制造的货物（不包括使用非残疾人福利性单位注册商标的货物）。</w:t>
      </w:r>
    </w:p>
    <w:p>
      <w:pPr>
        <w:spacing w:line="588"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本单位对上述声明的真实性负责。如有虚假，将依法承担相应责任。</w:t>
      </w:r>
    </w:p>
    <w:p>
      <w:pPr>
        <w:spacing w:line="588"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w:t>
      </w:r>
    </w:p>
    <w:p>
      <w:pPr>
        <w:spacing w:line="588"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（备注：1、供应商如不提供此声明函，将不享受相关优惠政策。2、成交供应商为残疾人福利单位的，此声明函将随成交结果同时公告，接受社会监督）</w:t>
      </w:r>
    </w:p>
    <w:p>
      <w:pPr>
        <w:spacing w:line="588" w:lineRule="exact"/>
        <w:ind w:firstLine="624" w:firstLineChars="200"/>
        <w:rPr>
          <w:rFonts w:ascii="仿宋" w:hAnsi="仿宋" w:eastAsia="仿宋" w:cs="仿宋"/>
          <w:color w:val="000000" w:themeColor="text1"/>
          <w:spacing w:val="6"/>
          <w:sz w:val="30"/>
          <w:szCs w:val="30"/>
          <w14:textFill>
            <w14:solidFill>
              <w14:schemeClr w14:val="tx1"/>
            </w14:solidFill>
          </w14:textFill>
        </w:rPr>
      </w:pPr>
      <w:r>
        <w:rPr>
          <w:rFonts w:hint="eastAsia" w:ascii="仿宋" w:hAnsi="仿宋" w:eastAsia="仿宋" w:cs="仿宋"/>
          <w:color w:val="000000" w:themeColor="text1"/>
          <w:spacing w:val="6"/>
          <w:sz w:val="30"/>
          <w:szCs w:val="30"/>
          <w14:textFill>
            <w14:solidFill>
              <w14:schemeClr w14:val="tx1"/>
            </w14:solidFill>
          </w14:textFill>
        </w:rPr>
        <w:t xml:space="preserve"> </w:t>
      </w:r>
    </w:p>
    <w:p>
      <w:pPr>
        <w:pStyle w:val="19"/>
        <w:rPr>
          <w:rFonts w:ascii="仿宋" w:hAnsi="仿宋" w:eastAsia="仿宋" w:cs="仿宋"/>
          <w:color w:val="000000" w:themeColor="text1"/>
          <w:spacing w:val="6"/>
          <w:sz w:val="30"/>
          <w:szCs w:val="30"/>
          <w14:textFill>
            <w14:solidFill>
              <w14:schemeClr w14:val="tx1"/>
            </w14:solidFill>
          </w14:textFill>
        </w:rPr>
      </w:pPr>
    </w:p>
    <w:p>
      <w:pPr>
        <w:pStyle w:val="19"/>
        <w:ind w:firstLine="0"/>
        <w:rPr>
          <w:rFonts w:ascii="仿宋" w:hAnsi="仿宋" w:eastAsia="仿宋" w:cs="仿宋"/>
          <w:color w:val="000000" w:themeColor="text1"/>
          <w:spacing w:val="6"/>
          <w:sz w:val="30"/>
          <w:szCs w:val="30"/>
          <w14:textFill>
            <w14:solidFill>
              <w14:schemeClr w14:val="tx1"/>
            </w14:solidFill>
          </w14:textFill>
        </w:rPr>
      </w:pPr>
    </w:p>
    <w:p>
      <w:pPr>
        <w:spacing w:line="588" w:lineRule="exact"/>
        <w:ind w:right="1560" w:firstLine="624" w:firstLineChars="20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pacing w:val="6"/>
          <w:sz w:val="30"/>
          <w:szCs w:val="30"/>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          供应商全称（加盖公章）：</w:t>
      </w:r>
    </w:p>
    <w:p>
      <w:pPr>
        <w:spacing w:line="588" w:lineRule="exact"/>
        <w:ind w:right="1560" w:firstLine="480" w:firstLineChars="200"/>
        <w:jc w:val="center"/>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日  期：</w:t>
      </w:r>
      <w:bookmarkEnd w:id="330"/>
    </w:p>
    <w:p/>
    <w:p/>
    <w:sectPr>
      <w:footerReference r:id="rId13" w:type="default"/>
      <w:pgSz w:w="11906" w:h="16838"/>
      <w:pgMar w:top="1440" w:right="856" w:bottom="1440" w:left="11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1"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0"/>
                            <w:ind w:firstLine="360"/>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Y624F84BAACwAwAADgAAAAAAAAABACAAAAAgAQAAZHJz&#10;L2Uyb0RvYy54bWxQSwUGAAAAAAYABgBZAQAAYAUAAAAA&#10;">
              <v:fill on="f" focussize="0,0"/>
              <v:stroke on="f"/>
              <v:imagedata o:title=""/>
              <o:lock v:ext="edit" aspectratio="f"/>
              <v:textbox inset="0mm,0mm,0mm,0mm" style="mso-fit-shape-to-text:t;">
                <w:txbxContent>
                  <w:p>
                    <w:pPr>
                      <w:pStyle w:val="10"/>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0"/>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pPr>
                      <w:pStyle w:val="10"/>
                      <w:ind w:firstLine="36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0"/>
                            <w:ind w:firstLine="360"/>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10"/>
                      <w:ind w:firstLine="360"/>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0"/>
                            <w:ind w:firstLine="360"/>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10"/>
                      <w:ind w:firstLine="360"/>
                    </w:pPr>
                    <w:r>
                      <w:fldChar w:fldCharType="begin"/>
                    </w:r>
                    <w:r>
                      <w:instrText xml:space="preserve"> PAGE  \* MERGEFORMAT </w:instrText>
                    </w:r>
                    <w:r>
                      <w:fldChar w:fldCharType="separate"/>
                    </w:r>
                    <w:r>
                      <w:t>39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4" w:space="1"/>
      </w:pBdr>
      <w:spacing w:line="240" w:lineRule="atLeast"/>
      <w:ind w:firstLine="0" w:firstLineChars="0"/>
      <w:jc w:val="both"/>
      <w:rPr>
        <w:rFonts w:ascii="仿宋" w:hAnsi="仿宋" w:eastAsia="仿宋" w:cs="仿宋"/>
      </w:rPr>
    </w:pPr>
    <w:r>
      <w:rPr>
        <w:rFonts w:hint="eastAsia" w:ascii="仿宋" w:hAnsi="仿宋" w:eastAsia="仿宋" w:cs="仿宋"/>
      </w:rPr>
      <w:t>NJDCX-202311221356                                                                南京达琛鑫工程咨询有限公司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1"/>
    <w:multiLevelType w:val="multilevel"/>
    <w:tmpl w:val="00000011"/>
    <w:lvl w:ilvl="0" w:tentative="0">
      <w:start w:val="1"/>
      <w:numFmt w:val="japaneseCounting"/>
      <w:pStyle w:val="22"/>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
    <w:nsid w:val="39109CBB"/>
    <w:multiLevelType w:val="singleLevel"/>
    <w:tmpl w:val="39109CBB"/>
    <w:lvl w:ilvl="0" w:tentative="0">
      <w:start w:val="1"/>
      <w:numFmt w:val="decimal"/>
      <w:suff w:val="nothing"/>
      <w:lvlText w:val="%1、"/>
      <w:lvlJc w:val="left"/>
      <w:rPr>
        <w:rFonts w:hint="default"/>
        <w:b/>
        <w:bCs/>
      </w:rPr>
    </w:lvl>
  </w:abstractNum>
  <w:abstractNum w:abstractNumId="2">
    <w:nsid w:val="42062CC4"/>
    <w:multiLevelType w:val="multilevel"/>
    <w:tmpl w:val="42062CC4"/>
    <w:lvl w:ilvl="0" w:tentative="0">
      <w:start w:val="1"/>
      <w:numFmt w:val="decimal"/>
      <w:suff w:val="nothing"/>
      <w:lvlText w:val="第 %1 部分 "/>
      <w:lvlJc w:val="left"/>
      <w:rPr>
        <w:rFonts w:hint="eastAsia" w:ascii="黑体" w:hAnsi="宋体" w:eastAsia="黑体"/>
        <w:b/>
        <w:bCs/>
        <w:i w:val="0"/>
        <w:iCs w:val="0"/>
        <w:caps w:val="0"/>
        <w:smallCaps w:val="0"/>
        <w:strike w:val="0"/>
        <w:dstrike w:val="0"/>
        <w:spacing w:val="0"/>
        <w:position w:val="0"/>
        <w:u w:val="none"/>
        <w:vertAlign w:val="baseline"/>
      </w:rPr>
    </w:lvl>
    <w:lvl w:ilvl="1" w:tentative="0">
      <w:start w:val="1"/>
      <w:numFmt w:val="decimal"/>
      <w:pStyle w:val="2"/>
      <w:isLgl/>
      <w:suff w:val="nothing"/>
      <w:lvlText w:val="%1.%2 "/>
      <w:lvlJc w:val="left"/>
      <w:rPr>
        <w:rFonts w:hint="eastAsia"/>
      </w:rPr>
    </w:lvl>
    <w:lvl w:ilvl="2" w:tentative="0">
      <w:start w:val="1"/>
      <w:numFmt w:val="none"/>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yZGEyN2E4MTBjZDZiMWI1NmFkNGQyMmRmMDFhYjAifQ=="/>
  </w:docVars>
  <w:rsids>
    <w:rsidRoot w:val="13D57F5D"/>
    <w:rsid w:val="000B5466"/>
    <w:rsid w:val="001076E1"/>
    <w:rsid w:val="00215B1E"/>
    <w:rsid w:val="00253F93"/>
    <w:rsid w:val="0025502C"/>
    <w:rsid w:val="00282421"/>
    <w:rsid w:val="002B2238"/>
    <w:rsid w:val="002E4CE0"/>
    <w:rsid w:val="00323DEA"/>
    <w:rsid w:val="00351C68"/>
    <w:rsid w:val="004146A5"/>
    <w:rsid w:val="0048365D"/>
    <w:rsid w:val="0049369D"/>
    <w:rsid w:val="00612F48"/>
    <w:rsid w:val="006A112F"/>
    <w:rsid w:val="00734BF9"/>
    <w:rsid w:val="007E4838"/>
    <w:rsid w:val="008269E1"/>
    <w:rsid w:val="008741F3"/>
    <w:rsid w:val="00936856"/>
    <w:rsid w:val="009C1A90"/>
    <w:rsid w:val="00A86F85"/>
    <w:rsid w:val="00B37E66"/>
    <w:rsid w:val="00B41B96"/>
    <w:rsid w:val="00C310B0"/>
    <w:rsid w:val="00C318D8"/>
    <w:rsid w:val="00CD3BF2"/>
    <w:rsid w:val="00D871A6"/>
    <w:rsid w:val="00E325D4"/>
    <w:rsid w:val="00F5522E"/>
    <w:rsid w:val="050C6E35"/>
    <w:rsid w:val="0C6075A1"/>
    <w:rsid w:val="0E0E188E"/>
    <w:rsid w:val="13D57F5D"/>
    <w:rsid w:val="160E5F06"/>
    <w:rsid w:val="16697BD2"/>
    <w:rsid w:val="19DC757A"/>
    <w:rsid w:val="218B01C9"/>
    <w:rsid w:val="24EE6DBF"/>
    <w:rsid w:val="275D743D"/>
    <w:rsid w:val="2B4B2B77"/>
    <w:rsid w:val="2C534E47"/>
    <w:rsid w:val="2DDB4C35"/>
    <w:rsid w:val="2EE742F8"/>
    <w:rsid w:val="34333195"/>
    <w:rsid w:val="348F605A"/>
    <w:rsid w:val="3E342C4C"/>
    <w:rsid w:val="420C57F0"/>
    <w:rsid w:val="42AC51AC"/>
    <w:rsid w:val="44EB621E"/>
    <w:rsid w:val="487A605D"/>
    <w:rsid w:val="4F1B1181"/>
    <w:rsid w:val="5007646E"/>
    <w:rsid w:val="505E30F1"/>
    <w:rsid w:val="523102EB"/>
    <w:rsid w:val="54554E92"/>
    <w:rsid w:val="59D06531"/>
    <w:rsid w:val="5C6A4781"/>
    <w:rsid w:val="5D262130"/>
    <w:rsid w:val="5E9F53A3"/>
    <w:rsid w:val="622F45C7"/>
    <w:rsid w:val="63174130"/>
    <w:rsid w:val="63A66D95"/>
    <w:rsid w:val="681D3A5A"/>
    <w:rsid w:val="6B057B25"/>
    <w:rsid w:val="6CF30275"/>
    <w:rsid w:val="6CFD3B76"/>
    <w:rsid w:val="7329156C"/>
    <w:rsid w:val="7334523E"/>
    <w:rsid w:val="737E5C62"/>
    <w:rsid w:val="75073A8D"/>
    <w:rsid w:val="79087C25"/>
    <w:rsid w:val="7B484EA1"/>
    <w:rsid w:val="7EAD4D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unhideWhenUsed/>
    <w:qFormat/>
    <w:uiPriority w:val="0"/>
    <w:pPr>
      <w:keepNext/>
      <w:keepLines/>
      <w:numPr>
        <w:ilvl w:val="1"/>
        <w:numId w:val="1"/>
      </w:numPr>
      <w:spacing w:before="260" w:after="260" w:line="415" w:lineRule="auto"/>
      <w:ind w:firstLine="200" w:firstLineChars="200"/>
      <w:jc w:val="center"/>
      <w:outlineLvl w:val="1"/>
    </w:pPr>
    <w:rPr>
      <w:rFonts w:ascii="Arial" w:hAnsi="Arial" w:eastAsia="幼圆" w:cs="Arial"/>
      <w:b/>
      <w:bCs/>
      <w:sz w:val="44"/>
      <w:szCs w:val="44"/>
    </w:rPr>
  </w:style>
  <w:style w:type="paragraph" w:styleId="3">
    <w:name w:val="heading 3"/>
    <w:basedOn w:val="1"/>
    <w:next w:val="1"/>
    <w:unhideWhenUsed/>
    <w:qFormat/>
    <w:uiPriority w:val="0"/>
    <w:pPr>
      <w:keepNext/>
      <w:keepLines/>
      <w:spacing w:before="260" w:after="260" w:line="415" w:lineRule="auto"/>
      <w:outlineLvl w:val="2"/>
    </w:pPr>
    <w:rPr>
      <w:b/>
      <w:bCs/>
      <w:sz w:val="32"/>
      <w:szCs w:val="32"/>
    </w:rPr>
  </w:style>
  <w:style w:type="paragraph" w:styleId="4">
    <w:name w:val="heading 4"/>
    <w:basedOn w:val="1"/>
    <w:next w:val="1"/>
    <w:qFormat/>
    <w:uiPriority w:val="9"/>
    <w:pPr>
      <w:keepNext/>
      <w:keepLines/>
      <w:spacing w:line="376" w:lineRule="auto"/>
      <w:outlineLvl w:val="3"/>
    </w:pPr>
    <w:rPr>
      <w:rFonts w:ascii="Cambria" w:hAnsi="Cambria" w:cs="Times New Roman"/>
      <w:b/>
      <w:bCs/>
      <w:kern w:val="0"/>
      <w:sz w:val="28"/>
      <w:szCs w:val="28"/>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Indent"/>
    <w:basedOn w:val="1"/>
    <w:next w:val="7"/>
    <w:qFormat/>
    <w:uiPriority w:val="0"/>
    <w:pPr>
      <w:ind w:firstLine="645"/>
    </w:pPr>
    <w:rPr>
      <w:rFonts w:ascii="Arial" w:hAnsi="Arial" w:eastAsia="仿宋_GB2312"/>
      <w:sz w:val="28"/>
    </w:rPr>
  </w:style>
  <w:style w:type="paragraph" w:styleId="7">
    <w:name w:val="envelope return"/>
    <w:basedOn w:val="1"/>
    <w:qFormat/>
    <w:uiPriority w:val="0"/>
    <w:pPr>
      <w:snapToGrid w:val="0"/>
    </w:pPr>
    <w:rPr>
      <w:rFonts w:ascii="Arial" w:hAnsi="Arial"/>
    </w:rPr>
  </w:style>
  <w:style w:type="paragraph" w:styleId="8">
    <w:name w:val="index 4"/>
    <w:basedOn w:val="1"/>
    <w:next w:val="1"/>
    <w:qFormat/>
    <w:uiPriority w:val="0"/>
    <w:pPr>
      <w:ind w:left="600" w:leftChars="600"/>
    </w:pPr>
    <w:rPr>
      <w:rFonts w:ascii="Verdana" w:hAnsi="Verdana"/>
      <w:szCs w:val="20"/>
    </w:rPr>
  </w:style>
  <w:style w:type="paragraph" w:styleId="9">
    <w:name w:val="Balloon Text"/>
    <w:basedOn w:val="1"/>
    <w:link w:val="27"/>
    <w:qFormat/>
    <w:uiPriority w:val="0"/>
    <w:rPr>
      <w:sz w:val="18"/>
      <w:szCs w:val="18"/>
    </w:rPr>
  </w:style>
  <w:style w:type="paragraph" w:styleId="10">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1">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2">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4">
    <w:name w:val="Body Text First Indent 2"/>
    <w:basedOn w:val="1"/>
    <w:next w:val="1"/>
    <w:qFormat/>
    <w:uiPriority w:val="99"/>
    <w:pPr>
      <w:ind w:firstLine="420" w:firstLineChars="200"/>
    </w:pPr>
  </w:style>
  <w:style w:type="character" w:styleId="17">
    <w:name w:val="Strong"/>
    <w:basedOn w:val="16"/>
    <w:qFormat/>
    <w:uiPriority w:val="0"/>
    <w:rPr>
      <w:b/>
      <w:bCs/>
    </w:rPr>
  </w:style>
  <w:style w:type="character" w:styleId="18">
    <w:name w:val="annotation reference"/>
    <w:basedOn w:val="16"/>
    <w:qFormat/>
    <w:uiPriority w:val="0"/>
    <w:rPr>
      <w:sz w:val="21"/>
      <w:szCs w:val="21"/>
    </w:rPr>
  </w:style>
  <w:style w:type="paragraph" w:customStyle="1" w:styleId="19">
    <w:name w:val="DAS正文"/>
    <w:qFormat/>
    <w:uiPriority w:val="0"/>
    <w:pPr>
      <w:widowControl w:val="0"/>
      <w:spacing w:line="360" w:lineRule="auto"/>
      <w:ind w:right="181" w:firstLine="480"/>
      <w:jc w:val="both"/>
    </w:pPr>
    <w:rPr>
      <w:rFonts w:ascii="Verdana" w:hAnsi="Verdana" w:eastAsia="宋体" w:cs="Times New Roman"/>
      <w:kern w:val="2"/>
      <w:sz w:val="21"/>
      <w:szCs w:val="24"/>
      <w:lang w:val="en-US" w:eastAsia="zh-CN" w:bidi="ar-SA"/>
    </w:rPr>
  </w:style>
  <w:style w:type="paragraph" w:customStyle="1" w:styleId="20">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21">
    <w:name w:val="一级目录"/>
    <w:next w:val="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paragraph" w:customStyle="1" w:styleId="22">
    <w:name w:val="二级目录"/>
    <w:next w:val="1"/>
    <w:qFormat/>
    <w:uiPriority w:val="99"/>
    <w:pPr>
      <w:numPr>
        <w:ilvl w:val="0"/>
        <w:numId w:val="2"/>
      </w:numPr>
      <w:outlineLvl w:val="1"/>
    </w:pPr>
    <w:rPr>
      <w:rFonts w:ascii="Calibri" w:hAnsi="Calibri" w:eastAsia="宋体" w:cs="Times New Roman"/>
      <w:b/>
      <w:bCs/>
      <w:kern w:val="2"/>
      <w:sz w:val="28"/>
      <w:szCs w:val="28"/>
      <w:lang w:val="en-US" w:eastAsia="zh-CN" w:bidi="ar-SA"/>
    </w:rPr>
  </w:style>
  <w:style w:type="table" w:customStyle="1" w:styleId="23">
    <w:name w:val="Table Normal"/>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24">
    <w:name w:val="列出段落1"/>
    <w:basedOn w:val="1"/>
    <w:qFormat/>
    <w:uiPriority w:val="99"/>
    <w:pPr>
      <w:ind w:firstLine="420" w:firstLineChars="200"/>
    </w:pPr>
  </w:style>
  <w:style w:type="paragraph" w:customStyle="1" w:styleId="2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26">
    <w:name w:val="Char1"/>
    <w:basedOn w:val="1"/>
    <w:qFormat/>
    <w:uiPriority w:val="99"/>
    <w:rPr>
      <w:rFonts w:ascii="Tahoma" w:hAnsi="Tahoma" w:cs="Tahoma"/>
      <w:sz w:val="24"/>
      <w:szCs w:val="24"/>
    </w:rPr>
  </w:style>
  <w:style w:type="character" w:customStyle="1" w:styleId="27">
    <w:name w:val="批注框文本 Char"/>
    <w:basedOn w:val="16"/>
    <w:link w:val="9"/>
    <w:qFormat/>
    <w:uiPriority w:val="0"/>
    <w:rPr>
      <w:rFonts w:ascii="Calibri" w:hAnsi="Calibri" w:eastAsia="宋体" w:cs="Calibri"/>
      <w:kern w:val="2"/>
      <w:sz w:val="18"/>
      <w:szCs w:val="18"/>
    </w:rPr>
  </w:style>
  <w:style w:type="character" w:styleId="28">
    <w:name w:val="Placeholder Text"/>
    <w:basedOn w:val="16"/>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3561</Words>
  <Characters>20301</Characters>
  <Lines>169</Lines>
  <Paragraphs>47</Paragraphs>
  <TotalTime>14</TotalTime>
  <ScaleCrop>false</ScaleCrop>
  <LinksUpToDate>false</LinksUpToDate>
  <CharactersWithSpaces>23815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2023-11-23T06:08:00Z</dcterms:created>
  <dc:creator>llin</dc:creator>
  <cp:lastModifiedBy>舒舒</cp:lastModifiedBy>
  <dcterms:modified xsi:type="dcterms:W3CDTF">2023-11-30T03:33:41Z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3D47A9A7B457482E97DA90B482801762_13</vt:lpwstr>
  </property>
</Properties>
</file>