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1"/>
        <w:spacing w:before="0" w:after="0"/>
        <w:ind w:firstLine="0" w:firstLineChars="0"/>
        <w:textAlignment w:val="baseline"/>
        <w:rPr>
          <w:rFonts w:ascii="仿宋" w:hAnsi="仿宋" w:eastAsia="仿宋" w:cs="仿宋"/>
          <w:b/>
          <w:bCs/>
          <w:sz w:val="84"/>
        </w:rPr>
      </w:pPr>
    </w:p>
    <w:p>
      <w:pPr>
        <w:pStyle w:val="41"/>
        <w:spacing w:before="0" w:after="0"/>
        <w:ind w:firstLine="0" w:firstLineChars="0"/>
        <w:jc w:val="center"/>
        <w:textAlignment w:val="baseline"/>
        <w:rPr>
          <w:rFonts w:ascii="仿宋" w:hAnsi="仿宋" w:eastAsia="仿宋" w:cs="仿宋"/>
          <w:b/>
          <w:bCs/>
          <w:sz w:val="84"/>
        </w:rPr>
      </w:pPr>
      <w:r>
        <w:rPr>
          <w:rFonts w:hint="eastAsia" w:ascii="仿宋" w:hAnsi="仿宋" w:eastAsia="仿宋" w:cs="仿宋"/>
          <w:b/>
          <w:bCs/>
          <w:sz w:val="84"/>
        </w:rPr>
        <w:t>竞争性磋商文件</w:t>
      </w:r>
    </w:p>
    <w:p>
      <w:pPr>
        <w:pStyle w:val="41"/>
        <w:spacing w:before="0" w:after="0"/>
        <w:ind w:firstLine="1687"/>
        <w:jc w:val="center"/>
        <w:textAlignment w:val="baseline"/>
        <w:rPr>
          <w:rFonts w:ascii="仿宋" w:hAnsi="仿宋" w:eastAsia="仿宋" w:cs="仿宋"/>
          <w:b/>
          <w:bCs/>
          <w:sz w:val="84"/>
        </w:rPr>
      </w:pPr>
    </w:p>
    <w:p>
      <w:pPr>
        <w:pStyle w:val="41"/>
        <w:spacing w:before="0" w:after="0"/>
        <w:ind w:firstLine="723"/>
        <w:textAlignment w:val="baseline"/>
        <w:rPr>
          <w:rFonts w:ascii="仿宋" w:hAnsi="仿宋" w:eastAsia="仿宋" w:cs="仿宋"/>
          <w:b/>
          <w:bCs/>
          <w:sz w:val="36"/>
          <w:szCs w:val="36"/>
        </w:rPr>
      </w:pPr>
    </w:p>
    <w:p>
      <w:pPr>
        <w:pStyle w:val="41"/>
        <w:spacing w:before="0" w:after="0"/>
        <w:ind w:firstLine="723"/>
        <w:textAlignment w:val="baseline"/>
        <w:rPr>
          <w:rFonts w:ascii="仿宋" w:hAnsi="仿宋" w:eastAsia="仿宋" w:cs="仿宋"/>
          <w:b/>
          <w:bCs/>
          <w:sz w:val="36"/>
          <w:szCs w:val="36"/>
        </w:rPr>
      </w:pPr>
    </w:p>
    <w:p>
      <w:pPr>
        <w:spacing w:line="360" w:lineRule="auto"/>
        <w:jc w:val="center"/>
        <w:textAlignment w:val="baseline"/>
        <w:rPr>
          <w:rFonts w:ascii="仿宋" w:hAnsi="仿宋" w:eastAsia="仿宋" w:cs="仿宋"/>
          <w:b/>
          <w:bCs/>
          <w:sz w:val="36"/>
          <w:szCs w:val="36"/>
        </w:rPr>
      </w:pPr>
      <w:r>
        <w:rPr>
          <w:rFonts w:hint="eastAsia" w:ascii="仿宋" w:hAnsi="仿宋" w:eastAsia="仿宋" w:cs="仿宋"/>
          <w:b/>
          <w:bCs/>
          <w:sz w:val="36"/>
          <w:szCs w:val="36"/>
        </w:rPr>
        <w:t>项目名称：江苏法院人事管理系统运维服务</w:t>
      </w:r>
    </w:p>
    <w:p>
      <w:pPr>
        <w:pStyle w:val="41"/>
        <w:spacing w:before="0" w:after="0"/>
        <w:ind w:firstLine="2168" w:firstLineChars="600"/>
        <w:jc w:val="both"/>
        <w:textAlignment w:val="baseline"/>
        <w:rPr>
          <w:rFonts w:ascii="仿宋" w:hAnsi="仿宋" w:eastAsia="仿宋" w:cs="仿宋"/>
          <w:b/>
          <w:bCs/>
          <w:sz w:val="36"/>
          <w:szCs w:val="36"/>
        </w:rPr>
      </w:pPr>
      <w:r>
        <w:rPr>
          <w:rFonts w:hint="eastAsia" w:ascii="仿宋" w:hAnsi="仿宋" w:eastAsia="仿宋" w:cs="仿宋"/>
          <w:b/>
          <w:bCs/>
          <w:sz w:val="36"/>
          <w:szCs w:val="36"/>
        </w:rPr>
        <w:t>项目编号：NJDCX-202311220826</w:t>
      </w:r>
    </w:p>
    <w:p>
      <w:pPr>
        <w:pStyle w:val="41"/>
        <w:spacing w:before="0" w:after="0"/>
        <w:ind w:firstLine="723"/>
        <w:jc w:val="both"/>
        <w:textAlignment w:val="baseline"/>
        <w:rPr>
          <w:rFonts w:ascii="仿宋" w:hAnsi="仿宋" w:eastAsia="仿宋" w:cs="仿宋"/>
          <w:b/>
          <w:bCs/>
          <w:sz w:val="36"/>
          <w:szCs w:val="36"/>
        </w:rPr>
      </w:pPr>
    </w:p>
    <w:p>
      <w:pPr>
        <w:pStyle w:val="41"/>
        <w:spacing w:before="0" w:after="0"/>
        <w:ind w:firstLine="723"/>
        <w:jc w:val="center"/>
        <w:textAlignment w:val="baseline"/>
        <w:rPr>
          <w:rFonts w:ascii="仿宋" w:hAnsi="仿宋" w:eastAsia="仿宋" w:cs="仿宋"/>
          <w:b/>
          <w:bCs/>
          <w:sz w:val="36"/>
          <w:szCs w:val="36"/>
        </w:rPr>
      </w:pPr>
    </w:p>
    <w:p>
      <w:pPr>
        <w:pStyle w:val="41"/>
        <w:spacing w:before="0" w:after="0"/>
        <w:ind w:firstLine="723"/>
        <w:jc w:val="center"/>
        <w:textAlignment w:val="baseline"/>
        <w:rPr>
          <w:rFonts w:ascii="仿宋" w:hAnsi="仿宋" w:eastAsia="仿宋" w:cs="仿宋"/>
          <w:b/>
          <w:bCs/>
          <w:sz w:val="36"/>
          <w:szCs w:val="36"/>
        </w:rPr>
      </w:pPr>
    </w:p>
    <w:p>
      <w:pPr>
        <w:pStyle w:val="41"/>
        <w:spacing w:before="0" w:after="0"/>
        <w:ind w:firstLine="723"/>
        <w:jc w:val="both"/>
        <w:textAlignment w:val="baseline"/>
        <w:rPr>
          <w:rFonts w:ascii="仿宋" w:hAnsi="仿宋" w:eastAsia="仿宋" w:cs="仿宋"/>
          <w:b/>
          <w:bCs/>
          <w:sz w:val="36"/>
          <w:szCs w:val="36"/>
        </w:rPr>
      </w:pPr>
    </w:p>
    <w:p>
      <w:pPr>
        <w:pStyle w:val="41"/>
        <w:spacing w:before="0" w:after="0"/>
        <w:ind w:firstLine="723"/>
        <w:jc w:val="both"/>
        <w:textAlignment w:val="baseline"/>
        <w:rPr>
          <w:rFonts w:ascii="仿宋" w:hAnsi="仿宋" w:eastAsia="仿宋" w:cs="仿宋"/>
          <w:b/>
          <w:bCs/>
          <w:sz w:val="36"/>
          <w:szCs w:val="36"/>
        </w:rPr>
      </w:pPr>
    </w:p>
    <w:p>
      <w:pPr>
        <w:pStyle w:val="41"/>
        <w:spacing w:before="0" w:after="0"/>
        <w:ind w:firstLine="723"/>
        <w:jc w:val="center"/>
        <w:textAlignment w:val="baseline"/>
        <w:rPr>
          <w:rFonts w:ascii="仿宋" w:hAnsi="仿宋" w:eastAsia="仿宋" w:cs="仿宋"/>
          <w:b/>
          <w:bCs/>
          <w:sz w:val="36"/>
          <w:szCs w:val="36"/>
        </w:rPr>
      </w:pPr>
    </w:p>
    <w:p>
      <w:pPr>
        <w:pStyle w:val="41"/>
        <w:spacing w:before="0" w:after="0"/>
        <w:ind w:firstLine="0" w:firstLineChars="0"/>
        <w:jc w:val="center"/>
        <w:textAlignment w:val="baseline"/>
        <w:rPr>
          <w:rFonts w:ascii="仿宋" w:hAnsi="仿宋" w:eastAsia="仿宋" w:cs="仿宋"/>
          <w:b/>
          <w:bCs/>
          <w:sz w:val="32"/>
          <w:szCs w:val="32"/>
        </w:rPr>
      </w:pPr>
      <w:r>
        <w:rPr>
          <w:rFonts w:hint="eastAsia" w:ascii="仿宋" w:hAnsi="仿宋" w:eastAsia="仿宋" w:cs="仿宋"/>
          <w:b/>
          <w:bCs/>
          <w:sz w:val="32"/>
          <w:szCs w:val="32"/>
        </w:rPr>
        <w:t>采购人：江苏省高级人民法院</w:t>
      </w:r>
    </w:p>
    <w:p>
      <w:pPr>
        <w:pStyle w:val="41"/>
        <w:spacing w:before="0" w:after="0"/>
        <w:ind w:firstLine="0" w:firstLineChars="0"/>
        <w:jc w:val="center"/>
        <w:textAlignment w:val="baseline"/>
        <w:rPr>
          <w:rFonts w:ascii="仿宋" w:hAnsi="仿宋" w:eastAsia="仿宋" w:cs="仿宋"/>
          <w:b/>
          <w:bCs/>
          <w:sz w:val="32"/>
          <w:szCs w:val="32"/>
        </w:rPr>
      </w:pPr>
      <w:r>
        <w:rPr>
          <w:sz w:val="32"/>
          <w:szCs w:val="32"/>
        </w:rPr>
        <w:drawing>
          <wp:anchor distT="0" distB="0" distL="114300" distR="114300" simplePos="0" relativeHeight="251663360" behindDoc="1" locked="0" layoutInCell="1" allowOverlap="1">
            <wp:simplePos x="0" y="0"/>
            <wp:positionH relativeFrom="column">
              <wp:posOffset>2662555</wp:posOffset>
            </wp:positionH>
            <wp:positionV relativeFrom="paragraph">
              <wp:posOffset>13489305</wp:posOffset>
            </wp:positionV>
            <wp:extent cx="1481455" cy="1463040"/>
            <wp:effectExtent l="0" t="0" r="4445" b="3810"/>
            <wp:wrapNone/>
            <wp:docPr id="2" name="Picutre 1"/>
            <wp:cNvGraphicFramePr/>
            <a:graphic xmlns:a="http://schemas.openxmlformats.org/drawingml/2006/main">
              <a:graphicData uri="http://schemas.openxmlformats.org/drawingml/2006/picture">
                <pic:pic xmlns:pic="http://schemas.openxmlformats.org/drawingml/2006/picture">
                  <pic:nvPicPr>
                    <pic:cNvPr id="2" name="Picutre 1"/>
                    <pic:cNvPicPr/>
                  </pic:nvPicPr>
                  <pic:blipFill>
                    <a:blip r:embed="rId17">
                      <a:clrChange>
                        <a:clrFrom>
                          <a:srgbClr val="FFF7FA">
                            <a:alpha val="100000"/>
                          </a:srgbClr>
                        </a:clrFrom>
                        <a:clrTo>
                          <a:srgbClr val="FFF7FA">
                            <a:alpha val="0"/>
                          </a:srgbClr>
                        </a:clrTo>
                      </a:clrChange>
                    </a:blip>
                    <a:stretch>
                      <a:fillRect/>
                    </a:stretch>
                  </pic:blipFill>
                  <pic:spPr>
                    <a:xfrm>
                      <a:off x="0" y="0"/>
                      <a:ext cx="1481455" cy="1463040"/>
                    </a:xfrm>
                    <a:prstGeom prst="rect">
                      <a:avLst/>
                    </a:prstGeom>
                  </pic:spPr>
                </pic:pic>
              </a:graphicData>
            </a:graphic>
          </wp:anchor>
        </w:drawing>
      </w:r>
      <w:r>
        <w:rPr>
          <w:rFonts w:hint="eastAsia" w:ascii="仿宋" w:hAnsi="仿宋" w:eastAsia="仿宋" w:cs="仿宋"/>
          <w:b/>
          <w:bCs/>
          <w:sz w:val="32"/>
          <w:szCs w:val="32"/>
        </w:rPr>
        <w:t>代理机构：南京达琛鑫工程咨询有限公司</w:t>
      </w:r>
    </w:p>
    <w:p>
      <w:pPr>
        <w:pStyle w:val="41"/>
        <w:spacing w:before="0" w:after="0"/>
        <w:ind w:firstLine="0" w:firstLineChars="0"/>
        <w:jc w:val="both"/>
        <w:textAlignment w:val="baseline"/>
        <w:rPr>
          <w:rFonts w:ascii="仿宋" w:hAnsi="仿宋" w:eastAsia="仿宋" w:cs="仿宋"/>
          <w:b/>
          <w:bCs/>
          <w:sz w:val="36"/>
          <w:szCs w:val="36"/>
        </w:rPr>
      </w:pPr>
    </w:p>
    <w:p>
      <w:pPr>
        <w:pStyle w:val="41"/>
        <w:spacing w:before="0" w:after="0"/>
        <w:ind w:firstLine="0" w:firstLineChars="0"/>
        <w:jc w:val="center"/>
        <w:textAlignment w:val="baseline"/>
        <w:rPr>
          <w:rFonts w:ascii="仿宋" w:hAnsi="仿宋" w:eastAsia="仿宋" w:cs="仿宋"/>
          <w:kern w:val="2"/>
          <w:sz w:val="36"/>
          <w:szCs w:val="36"/>
        </w:rPr>
      </w:pPr>
      <w:r>
        <w:rPr>
          <w:rFonts w:hint="eastAsia" w:ascii="仿宋" w:hAnsi="仿宋" w:eastAsia="仿宋" w:cs="仿宋"/>
          <w:b/>
          <w:bCs/>
          <w:sz w:val="36"/>
          <w:szCs w:val="36"/>
        </w:rPr>
        <w:t xml:space="preserve">二 〇 二 三 年 十 </w:t>
      </w:r>
      <w:r>
        <w:rPr>
          <w:rFonts w:hint="eastAsia" w:ascii="仿宋" w:hAnsi="仿宋" w:eastAsia="仿宋" w:cs="仿宋"/>
          <w:b/>
          <w:bCs/>
          <w:sz w:val="36"/>
          <w:szCs w:val="36"/>
          <w:lang w:val="en-US" w:eastAsia="zh-CN"/>
        </w:rPr>
        <w:t>二</w:t>
      </w:r>
      <w:r>
        <w:rPr>
          <w:rFonts w:hint="eastAsia" w:ascii="仿宋" w:hAnsi="仿宋" w:eastAsia="仿宋" w:cs="仿宋"/>
          <w:b/>
          <w:bCs/>
          <w:sz w:val="36"/>
          <w:szCs w:val="36"/>
        </w:rPr>
        <w:t xml:space="preserve"> 月</w:t>
      </w:r>
    </w:p>
    <w:p>
      <w:pPr>
        <w:spacing w:line="240" w:lineRule="atLeast"/>
        <w:jc w:val="center"/>
        <w:textAlignment w:val="baseline"/>
        <w:rPr>
          <w:rFonts w:ascii="仿宋" w:hAnsi="仿宋" w:eastAsia="仿宋" w:cs="仿宋"/>
          <w:b/>
          <w:bCs/>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856" w:bottom="1440" w:left="1140" w:header="624" w:footer="964" w:gutter="0"/>
          <w:cols w:space="0" w:num="1"/>
          <w:titlePg/>
          <w:docGrid w:type="lines" w:linePitch="312" w:charSpace="0"/>
        </w:sectPr>
      </w:pPr>
    </w:p>
    <w:p>
      <w:pPr>
        <w:spacing w:line="240" w:lineRule="atLeast"/>
        <w:jc w:val="center"/>
        <w:textAlignment w:val="baseline"/>
        <w:rPr>
          <w:rFonts w:ascii="仿宋" w:hAnsi="仿宋" w:eastAsia="仿宋" w:cs="仿宋"/>
          <w:b/>
          <w:bCs/>
          <w:sz w:val="32"/>
          <w:szCs w:val="32"/>
        </w:rPr>
      </w:pPr>
      <w:r>
        <w:rPr>
          <w:rFonts w:hint="eastAsia" w:ascii="仿宋" w:hAnsi="仿宋" w:eastAsia="仿宋" w:cs="仿宋"/>
          <w:b/>
          <w:bCs/>
          <w:sz w:val="32"/>
          <w:szCs w:val="32"/>
        </w:rPr>
        <w:t>目录</w:t>
      </w:r>
    </w:p>
    <w:p>
      <w:pPr>
        <w:pStyle w:val="22"/>
        <w:tabs>
          <w:tab w:val="right" w:leader="dot" w:pos="9174"/>
        </w:tabs>
      </w:pPr>
      <w:r>
        <w:rPr>
          <w:rFonts w:hint="eastAsia" w:ascii="仿宋" w:hAnsi="仿宋" w:eastAsia="仿宋" w:cs="仿宋"/>
          <w:b w:val="0"/>
          <w:caps w:val="0"/>
          <w:color w:val="000000"/>
          <w:sz w:val="40"/>
        </w:rPr>
        <w:fldChar w:fldCharType="begin"/>
      </w:r>
      <w:r>
        <w:rPr>
          <w:rFonts w:hint="eastAsia" w:ascii="仿宋" w:hAnsi="仿宋" w:eastAsia="仿宋" w:cs="仿宋"/>
          <w:b w:val="0"/>
          <w:caps w:val="0"/>
          <w:color w:val="000000"/>
          <w:sz w:val="40"/>
        </w:rPr>
        <w:instrText xml:space="preserve">TOC \o "1-1" \h \u </w:instrText>
      </w:r>
      <w:r>
        <w:rPr>
          <w:rFonts w:hint="eastAsia" w:ascii="仿宋" w:hAnsi="仿宋" w:eastAsia="仿宋" w:cs="仿宋"/>
          <w:b w:val="0"/>
          <w:caps w:val="0"/>
          <w:color w:val="000000"/>
          <w:sz w:val="40"/>
        </w:rPr>
        <w:fldChar w:fldCharType="separate"/>
      </w:r>
      <w:r>
        <w:fldChar w:fldCharType="begin"/>
      </w:r>
      <w:r>
        <w:instrText xml:space="preserve"> HYPERLINK \l "_Toc7411" </w:instrText>
      </w:r>
      <w:r>
        <w:fldChar w:fldCharType="separate"/>
      </w:r>
      <w:r>
        <w:rPr>
          <w:rFonts w:hint="eastAsia" w:ascii="仿宋" w:hAnsi="仿宋" w:eastAsia="仿宋" w:cs="仿宋"/>
        </w:rPr>
        <w:t>第一章  采购邀请</w:t>
      </w:r>
      <w:r>
        <w:tab/>
      </w:r>
      <w:r>
        <w:fldChar w:fldCharType="begin"/>
      </w:r>
      <w:r>
        <w:instrText xml:space="preserve"> PAGEREF _Toc7411 \h </w:instrText>
      </w:r>
      <w:r>
        <w:fldChar w:fldCharType="separate"/>
      </w:r>
      <w:r>
        <w:t>1</w:t>
      </w:r>
      <w:r>
        <w:fldChar w:fldCharType="end"/>
      </w:r>
      <w:r>
        <w:fldChar w:fldCharType="end"/>
      </w:r>
    </w:p>
    <w:p>
      <w:pPr>
        <w:pStyle w:val="22"/>
        <w:tabs>
          <w:tab w:val="right" w:leader="dot" w:pos="9174"/>
        </w:tabs>
      </w:pPr>
      <w:r>
        <w:fldChar w:fldCharType="begin"/>
      </w:r>
      <w:r>
        <w:instrText xml:space="preserve"> HYPERLINK \l "_Toc30554" </w:instrText>
      </w:r>
      <w:r>
        <w:fldChar w:fldCharType="separate"/>
      </w:r>
      <w:r>
        <w:rPr>
          <w:rFonts w:hint="eastAsia" w:ascii="仿宋" w:hAnsi="仿宋" w:eastAsia="仿宋" w:cs="仿宋"/>
        </w:rPr>
        <w:t>第二章  磋商须知</w:t>
      </w:r>
      <w:r>
        <w:tab/>
      </w:r>
      <w:r>
        <w:fldChar w:fldCharType="begin"/>
      </w:r>
      <w:r>
        <w:instrText xml:space="preserve"> PAGEREF _Toc30554 \h </w:instrText>
      </w:r>
      <w:r>
        <w:fldChar w:fldCharType="separate"/>
      </w:r>
      <w:r>
        <w:t>4</w:t>
      </w:r>
      <w:r>
        <w:fldChar w:fldCharType="end"/>
      </w:r>
      <w:r>
        <w:fldChar w:fldCharType="end"/>
      </w:r>
    </w:p>
    <w:p>
      <w:pPr>
        <w:pStyle w:val="22"/>
        <w:tabs>
          <w:tab w:val="right" w:leader="dot" w:pos="9174"/>
        </w:tabs>
      </w:pPr>
      <w:r>
        <w:fldChar w:fldCharType="begin"/>
      </w:r>
      <w:r>
        <w:instrText xml:space="preserve"> HYPERLINK \l "_Toc21725" </w:instrText>
      </w:r>
      <w:r>
        <w:fldChar w:fldCharType="separate"/>
      </w:r>
      <w:r>
        <w:rPr>
          <w:rFonts w:hint="eastAsia" w:ascii="仿宋" w:hAnsi="仿宋" w:eastAsia="仿宋" w:cs="仿宋"/>
        </w:rPr>
        <w:t>第三章  合同条款及格式</w:t>
      </w:r>
      <w:r>
        <w:tab/>
      </w:r>
      <w:r>
        <w:fldChar w:fldCharType="begin"/>
      </w:r>
      <w:r>
        <w:instrText xml:space="preserve"> PAGEREF _Toc21725 \h </w:instrText>
      </w:r>
      <w:r>
        <w:fldChar w:fldCharType="separate"/>
      </w:r>
      <w:r>
        <w:t>16</w:t>
      </w:r>
      <w:r>
        <w:fldChar w:fldCharType="end"/>
      </w:r>
      <w:r>
        <w:fldChar w:fldCharType="end"/>
      </w:r>
    </w:p>
    <w:p>
      <w:pPr>
        <w:pStyle w:val="22"/>
        <w:tabs>
          <w:tab w:val="right" w:leader="dot" w:pos="9174"/>
        </w:tabs>
      </w:pPr>
      <w:r>
        <w:fldChar w:fldCharType="begin"/>
      </w:r>
      <w:r>
        <w:instrText xml:space="preserve"> HYPERLINK \l "_Toc18016" </w:instrText>
      </w:r>
      <w:r>
        <w:fldChar w:fldCharType="separate"/>
      </w:r>
      <w:r>
        <w:rPr>
          <w:rFonts w:hint="eastAsia" w:ascii="仿宋" w:hAnsi="仿宋" w:eastAsia="仿宋" w:cs="仿宋"/>
        </w:rPr>
        <w:t>第四章  项目需求</w:t>
      </w:r>
      <w:r>
        <w:tab/>
      </w:r>
      <w:r>
        <w:fldChar w:fldCharType="begin"/>
      </w:r>
      <w:r>
        <w:instrText xml:space="preserve"> PAGEREF _Toc18016 \h </w:instrText>
      </w:r>
      <w:r>
        <w:fldChar w:fldCharType="separate"/>
      </w:r>
      <w:r>
        <w:t>18</w:t>
      </w:r>
      <w:r>
        <w:fldChar w:fldCharType="end"/>
      </w:r>
      <w:r>
        <w:fldChar w:fldCharType="end"/>
      </w:r>
    </w:p>
    <w:p>
      <w:pPr>
        <w:pStyle w:val="22"/>
        <w:tabs>
          <w:tab w:val="right" w:leader="dot" w:pos="9174"/>
        </w:tabs>
      </w:pPr>
      <w:r>
        <w:fldChar w:fldCharType="begin"/>
      </w:r>
      <w:r>
        <w:instrText xml:space="preserve"> HYPERLINK \l "_Toc8993" </w:instrText>
      </w:r>
      <w:r>
        <w:fldChar w:fldCharType="separate"/>
      </w:r>
      <w:r>
        <w:rPr>
          <w:rFonts w:hint="eastAsia" w:ascii="仿宋" w:hAnsi="仿宋" w:eastAsia="仿宋" w:cs="仿宋"/>
        </w:rPr>
        <w:t>第五章  评审方法与评审标准</w:t>
      </w:r>
      <w:r>
        <w:tab/>
      </w:r>
      <w:r>
        <w:fldChar w:fldCharType="begin"/>
      </w:r>
      <w:r>
        <w:instrText xml:space="preserve"> PAGEREF _Toc8993 \h </w:instrText>
      </w:r>
      <w:r>
        <w:fldChar w:fldCharType="separate"/>
      </w:r>
      <w:r>
        <w:t>23</w:t>
      </w:r>
      <w:r>
        <w:fldChar w:fldCharType="end"/>
      </w:r>
      <w:r>
        <w:fldChar w:fldCharType="end"/>
      </w:r>
    </w:p>
    <w:p>
      <w:pPr>
        <w:pStyle w:val="22"/>
        <w:tabs>
          <w:tab w:val="right" w:leader="dot" w:pos="9174"/>
        </w:tabs>
      </w:pPr>
      <w:r>
        <w:fldChar w:fldCharType="begin"/>
      </w:r>
      <w:r>
        <w:instrText xml:space="preserve"> HYPERLINK \l "_Toc19123" </w:instrText>
      </w:r>
      <w:r>
        <w:fldChar w:fldCharType="separate"/>
      </w:r>
      <w:r>
        <w:rPr>
          <w:rFonts w:hint="eastAsia" w:ascii="仿宋" w:hAnsi="仿宋" w:eastAsia="仿宋" w:cs="仿宋"/>
        </w:rPr>
        <w:t>第六章  响应文件格式</w:t>
      </w:r>
      <w:r>
        <w:tab/>
      </w:r>
      <w:r>
        <w:fldChar w:fldCharType="begin"/>
      </w:r>
      <w:r>
        <w:instrText xml:space="preserve"> PAGEREF _Toc19123 \h </w:instrText>
      </w:r>
      <w:r>
        <w:fldChar w:fldCharType="separate"/>
      </w:r>
      <w:r>
        <w:t>25</w:t>
      </w:r>
      <w:r>
        <w:fldChar w:fldCharType="end"/>
      </w:r>
      <w:r>
        <w:fldChar w:fldCharType="end"/>
      </w:r>
    </w:p>
    <w:p>
      <w:pPr>
        <w:widowControl/>
        <w:ind w:left="630" w:leftChars="300" w:right="1050"/>
        <w:jc w:val="center"/>
        <w:textAlignment w:val="baseline"/>
        <w:rPr>
          <w:rFonts w:ascii="仿宋" w:hAnsi="仿宋" w:eastAsia="仿宋" w:cs="仿宋"/>
          <w:color w:val="000000"/>
          <w:sz w:val="40"/>
        </w:rPr>
        <w:sectPr>
          <w:footerReference r:id="rId10" w:type="first"/>
          <w:footerReference r:id="rId9" w:type="default"/>
          <w:pgSz w:w="11906" w:h="16838"/>
          <w:pgMar w:top="1440" w:right="1366" w:bottom="1440" w:left="1366" w:header="624" w:footer="964" w:gutter="0"/>
          <w:cols w:space="0" w:num="1"/>
          <w:titlePg/>
          <w:docGrid w:type="lines" w:linePitch="312" w:charSpace="0"/>
        </w:sectPr>
      </w:pPr>
      <w:r>
        <w:rPr>
          <w:rFonts w:hint="eastAsia" w:ascii="仿宋" w:hAnsi="仿宋" w:eastAsia="仿宋" w:cs="仿宋"/>
          <w:color w:val="000000"/>
        </w:rPr>
        <w:fldChar w:fldCharType="end"/>
      </w:r>
    </w:p>
    <w:p>
      <w:pPr>
        <w:pStyle w:val="42"/>
        <w:pageBreakBefore/>
        <w:widowControl w:val="0"/>
        <w:spacing w:after="312" w:line="360" w:lineRule="auto"/>
        <w:textAlignment w:val="baseline"/>
        <w:rPr>
          <w:rFonts w:ascii="仿宋" w:hAnsi="仿宋" w:eastAsia="仿宋" w:cs="仿宋"/>
          <w:color w:val="000000"/>
          <w:sz w:val="40"/>
        </w:rPr>
      </w:pPr>
      <w:bookmarkStart w:id="0" w:name="_Toc9525"/>
      <w:bookmarkStart w:id="1" w:name="_Toc7411"/>
      <w:r>
        <w:rPr>
          <w:rFonts w:hint="eastAsia" w:ascii="仿宋" w:hAnsi="仿宋" w:eastAsia="仿宋" w:cs="仿宋"/>
          <w:color w:val="000000"/>
          <w:sz w:val="40"/>
        </w:rPr>
        <w:t>第一章  采购邀请</w:t>
      </w:r>
      <w:bookmarkEnd w:id="0"/>
      <w:bookmarkEnd w:id="1"/>
    </w:p>
    <w:p>
      <w:pPr>
        <w:snapToGrid w:val="0"/>
        <w:spacing w:line="360" w:lineRule="auto"/>
        <w:ind w:firstLine="480" w:firstLineChars="200"/>
        <w:textAlignment w:val="baseline"/>
        <w:rPr>
          <w:rFonts w:ascii="仿宋" w:hAnsi="仿宋" w:eastAsia="仿宋" w:cs="仿宋"/>
          <w:b/>
          <w:bCs/>
          <w:sz w:val="24"/>
          <w:szCs w:val="24"/>
        </w:rPr>
      </w:pPr>
      <w:r>
        <w:rPr>
          <w:rFonts w:hint="eastAsia" w:ascii="仿宋" w:hAnsi="仿宋" w:eastAsia="仿宋" w:cs="仿宋"/>
          <w:sz w:val="24"/>
          <w:szCs w:val="24"/>
        </w:rPr>
        <w:t>南京达琛鑫工程咨询有限公司受</w:t>
      </w:r>
      <w:r>
        <w:rPr>
          <w:rFonts w:hint="eastAsia" w:ascii="仿宋" w:hAnsi="仿宋" w:eastAsia="仿宋" w:cs="仿宋"/>
          <w:b/>
          <w:sz w:val="24"/>
          <w:szCs w:val="24"/>
        </w:rPr>
        <w:t>江苏省高级人民法院</w:t>
      </w:r>
      <w:r>
        <w:rPr>
          <w:rFonts w:hint="eastAsia" w:ascii="仿宋" w:hAnsi="仿宋" w:eastAsia="仿宋" w:cs="仿宋"/>
          <w:sz w:val="24"/>
          <w:szCs w:val="24"/>
        </w:rPr>
        <w:t>的委托，就</w:t>
      </w:r>
      <w:r>
        <w:rPr>
          <w:rFonts w:hint="eastAsia" w:ascii="仿宋" w:hAnsi="仿宋" w:eastAsia="仿宋" w:cs="仿宋"/>
          <w:b/>
          <w:bCs/>
          <w:sz w:val="24"/>
          <w:szCs w:val="24"/>
        </w:rPr>
        <w:t>江苏法院人事管理系统运维服务</w:t>
      </w:r>
      <w:r>
        <w:rPr>
          <w:rFonts w:hint="eastAsia" w:ascii="仿宋" w:hAnsi="仿宋" w:eastAsia="仿宋" w:cs="仿宋"/>
          <w:sz w:val="24"/>
          <w:szCs w:val="24"/>
        </w:rPr>
        <w:t>实施</w:t>
      </w:r>
      <w:r>
        <w:rPr>
          <w:rFonts w:hint="eastAsia" w:ascii="仿宋" w:hAnsi="仿宋" w:eastAsia="仿宋" w:cs="仿宋"/>
          <w:b/>
          <w:bCs/>
          <w:sz w:val="24"/>
          <w:szCs w:val="24"/>
        </w:rPr>
        <w:t>竞争性磋商</w:t>
      </w:r>
      <w:r>
        <w:rPr>
          <w:rFonts w:hint="eastAsia" w:ascii="仿宋" w:hAnsi="仿宋" w:eastAsia="仿宋" w:cs="仿宋"/>
          <w:sz w:val="24"/>
          <w:szCs w:val="24"/>
        </w:rPr>
        <w:t>采购，兹邀请符合条件的供应商参加磋商及报价。</w:t>
      </w:r>
    </w:p>
    <w:p>
      <w:pPr>
        <w:snapToGrid w:val="0"/>
        <w:spacing w:line="360" w:lineRule="auto"/>
        <w:textAlignment w:val="baseline"/>
        <w:rPr>
          <w:rFonts w:ascii="仿宋" w:hAnsi="仿宋" w:eastAsia="仿宋" w:cs="仿宋"/>
          <w:b/>
          <w:bCs/>
          <w:sz w:val="24"/>
          <w:szCs w:val="24"/>
        </w:rPr>
      </w:pPr>
      <w:r>
        <w:rPr>
          <w:rFonts w:hint="eastAsia" w:ascii="仿宋" w:hAnsi="仿宋" w:eastAsia="仿宋" w:cs="仿宋"/>
          <w:b/>
          <w:bCs/>
          <w:sz w:val="24"/>
          <w:szCs w:val="24"/>
        </w:rPr>
        <w:t>一、采购项目简要说明</w:t>
      </w:r>
    </w:p>
    <w:tbl>
      <w:tblPr>
        <w:tblStyle w:val="31"/>
        <w:tblW w:w="104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216"/>
        <w:gridCol w:w="8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blHeader/>
          <w:jc w:val="center"/>
        </w:trPr>
        <w:tc>
          <w:tcPr>
            <w:tcW w:w="714" w:type="dxa"/>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sz w:val="24"/>
                <w:szCs w:val="24"/>
              </w:rPr>
              <w:t>序号</w:t>
            </w:r>
          </w:p>
        </w:tc>
        <w:tc>
          <w:tcPr>
            <w:tcW w:w="1216" w:type="dxa"/>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sz w:val="24"/>
                <w:szCs w:val="24"/>
              </w:rPr>
              <w:t>项目</w:t>
            </w:r>
          </w:p>
        </w:tc>
        <w:tc>
          <w:tcPr>
            <w:tcW w:w="8478" w:type="dxa"/>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sz w:val="24"/>
                <w:szCs w:val="24"/>
              </w:rPr>
              <w:t>具 体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714" w:type="dxa"/>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sz w:val="24"/>
                <w:szCs w:val="24"/>
              </w:rPr>
              <w:t>1</w:t>
            </w:r>
          </w:p>
        </w:tc>
        <w:tc>
          <w:tcPr>
            <w:tcW w:w="1216" w:type="dxa"/>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sz w:val="24"/>
                <w:szCs w:val="24"/>
              </w:rPr>
              <w:t>项目名称</w:t>
            </w:r>
          </w:p>
        </w:tc>
        <w:tc>
          <w:tcPr>
            <w:tcW w:w="8478" w:type="dxa"/>
            <w:vAlign w:val="center"/>
          </w:tcPr>
          <w:p>
            <w:pPr>
              <w:spacing w:line="360" w:lineRule="auto"/>
              <w:textAlignment w:val="baseline"/>
              <w:rPr>
                <w:rFonts w:ascii="仿宋" w:hAnsi="仿宋" w:eastAsia="仿宋" w:cs="仿宋"/>
                <w:sz w:val="24"/>
                <w:szCs w:val="24"/>
              </w:rPr>
            </w:pPr>
            <w:r>
              <w:rPr>
                <w:rFonts w:hint="eastAsia" w:ascii="仿宋" w:hAnsi="仿宋" w:eastAsia="仿宋" w:cs="仿宋"/>
                <w:sz w:val="24"/>
                <w:szCs w:val="24"/>
              </w:rPr>
              <w:t>江苏法院人事管理系统运维服务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dxa"/>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sz w:val="24"/>
                <w:szCs w:val="24"/>
              </w:rPr>
              <w:t>2</w:t>
            </w:r>
          </w:p>
        </w:tc>
        <w:tc>
          <w:tcPr>
            <w:tcW w:w="1216" w:type="dxa"/>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sz w:val="24"/>
                <w:szCs w:val="24"/>
              </w:rPr>
              <w:t>采购方式</w:t>
            </w:r>
          </w:p>
        </w:tc>
        <w:tc>
          <w:tcPr>
            <w:tcW w:w="8478" w:type="dxa"/>
            <w:vAlign w:val="center"/>
          </w:tcPr>
          <w:p>
            <w:pPr>
              <w:snapToGrid w:val="0"/>
              <w:spacing w:line="0" w:lineRule="atLeast"/>
              <w:textAlignment w:val="baseline"/>
              <w:rPr>
                <w:rFonts w:ascii="仿宋" w:hAnsi="仿宋" w:eastAsia="仿宋" w:cs="仿宋"/>
                <w:sz w:val="24"/>
                <w:szCs w:val="24"/>
              </w:rPr>
            </w:pPr>
            <w:r>
              <w:rPr>
                <w:rFonts w:hint="eastAsia" w:ascii="仿宋" w:hAnsi="仿宋" w:eastAsia="仿宋" w:cs="仿宋"/>
                <w:sz w:val="24"/>
                <w:szCs w:val="24"/>
              </w:rPr>
              <w:t>竞争性磋商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14" w:type="dxa"/>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sz w:val="24"/>
                <w:szCs w:val="24"/>
              </w:rPr>
              <w:t>3</w:t>
            </w:r>
          </w:p>
        </w:tc>
        <w:tc>
          <w:tcPr>
            <w:tcW w:w="1216" w:type="dxa"/>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sz w:val="24"/>
                <w:szCs w:val="24"/>
              </w:rPr>
              <w:t>采购编号</w:t>
            </w:r>
          </w:p>
        </w:tc>
        <w:tc>
          <w:tcPr>
            <w:tcW w:w="8478" w:type="dxa"/>
            <w:vAlign w:val="center"/>
          </w:tcPr>
          <w:p>
            <w:pPr>
              <w:snapToGrid w:val="0"/>
              <w:spacing w:line="0" w:lineRule="atLeast"/>
              <w:textAlignment w:val="baseline"/>
              <w:rPr>
                <w:rFonts w:ascii="仿宋" w:hAnsi="仿宋" w:eastAsia="仿宋" w:cs="仿宋"/>
                <w:sz w:val="24"/>
                <w:szCs w:val="24"/>
              </w:rPr>
            </w:pPr>
            <w:r>
              <w:rPr>
                <w:rFonts w:hint="eastAsia" w:ascii="仿宋" w:hAnsi="仿宋" w:eastAsia="仿宋" w:cs="仿宋"/>
                <w:sz w:val="24"/>
                <w:szCs w:val="24"/>
              </w:rPr>
              <w:t>NJDCX-202311220826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714"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4</w:t>
            </w:r>
          </w:p>
        </w:tc>
        <w:tc>
          <w:tcPr>
            <w:tcW w:w="1216"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sz w:val="24"/>
                <w:szCs w:val="24"/>
              </w:rPr>
              <w:t>分包</w:t>
            </w:r>
          </w:p>
        </w:tc>
        <w:tc>
          <w:tcPr>
            <w:tcW w:w="8478" w:type="dxa"/>
            <w:vAlign w:val="center"/>
          </w:tcPr>
          <w:p>
            <w:pPr>
              <w:snapToGrid w:val="0"/>
              <w:spacing w:line="0" w:lineRule="atLeast"/>
              <w:textAlignment w:val="baseline"/>
              <w:rPr>
                <w:rFonts w:ascii="仿宋" w:hAnsi="仿宋" w:eastAsia="仿宋" w:cs="仿宋"/>
                <w:sz w:val="24"/>
                <w:szCs w:val="24"/>
              </w:rPr>
            </w:pPr>
            <w:r>
              <w:rPr>
                <w:rFonts w:hint="eastAsia" w:ascii="仿宋" w:hAnsi="仿宋" w:eastAsia="仿宋" w:cs="仿宋"/>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714"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5</w:t>
            </w:r>
          </w:p>
        </w:tc>
        <w:tc>
          <w:tcPr>
            <w:tcW w:w="1216"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代理机构</w:t>
            </w:r>
          </w:p>
        </w:tc>
        <w:tc>
          <w:tcPr>
            <w:tcW w:w="8478" w:type="dxa"/>
            <w:vAlign w:val="center"/>
          </w:tcPr>
          <w:p>
            <w:pPr>
              <w:snapToGrid w:val="0"/>
              <w:spacing w:line="0" w:lineRule="atLeast"/>
              <w:textAlignment w:val="baseline"/>
              <w:rPr>
                <w:rFonts w:ascii="仿宋" w:hAnsi="仿宋" w:eastAsia="仿宋" w:cs="仿宋"/>
                <w:sz w:val="24"/>
                <w:szCs w:val="24"/>
              </w:rPr>
            </w:pPr>
            <w:r>
              <w:rPr>
                <w:rFonts w:hint="eastAsia" w:ascii="仿宋" w:hAnsi="仿宋" w:eastAsia="仿宋" w:cs="仿宋"/>
                <w:sz w:val="24"/>
                <w:szCs w:val="24"/>
              </w:rPr>
              <w:t>南京达琛鑫工程咨询有限公司</w:t>
            </w:r>
          </w:p>
          <w:p>
            <w:pPr>
              <w:snapToGrid w:val="0"/>
              <w:spacing w:line="0" w:lineRule="atLeast"/>
              <w:textAlignment w:val="baseline"/>
              <w:rPr>
                <w:rFonts w:ascii="仿宋" w:hAnsi="仿宋" w:eastAsia="仿宋" w:cs="仿宋"/>
                <w:sz w:val="24"/>
                <w:szCs w:val="24"/>
              </w:rPr>
            </w:pPr>
            <w:r>
              <w:rPr>
                <w:rFonts w:hint="eastAsia" w:ascii="仿宋" w:hAnsi="仿宋" w:eastAsia="仿宋" w:cs="仿宋"/>
                <w:sz w:val="24"/>
                <w:szCs w:val="24"/>
              </w:rPr>
              <w:t xml:space="preserve">联系人：王工       </w:t>
            </w:r>
          </w:p>
          <w:p>
            <w:pPr>
              <w:snapToGrid w:val="0"/>
              <w:spacing w:line="0" w:lineRule="atLeast"/>
              <w:textAlignment w:val="baseline"/>
              <w:rPr>
                <w:rFonts w:ascii="仿宋" w:hAnsi="仿宋" w:eastAsia="仿宋" w:cs="仿宋"/>
                <w:sz w:val="24"/>
                <w:szCs w:val="24"/>
              </w:rPr>
            </w:pPr>
            <w:r>
              <w:rPr>
                <w:rFonts w:hint="eastAsia" w:ascii="仿宋" w:hAnsi="仿宋" w:eastAsia="仿宋" w:cs="仿宋"/>
                <w:sz w:val="24"/>
                <w:szCs w:val="24"/>
              </w:rPr>
              <w:t>电话：025-52639995（分机8001）</w:t>
            </w:r>
          </w:p>
          <w:p>
            <w:pPr>
              <w:snapToGrid w:val="0"/>
              <w:spacing w:line="0" w:lineRule="atLeast"/>
              <w:textAlignment w:val="baseline"/>
              <w:rPr>
                <w:rFonts w:ascii="仿宋" w:hAnsi="仿宋" w:eastAsia="仿宋" w:cs="仿宋"/>
                <w:sz w:val="24"/>
                <w:szCs w:val="24"/>
              </w:rPr>
            </w:pPr>
            <w:r>
              <w:rPr>
                <w:rFonts w:hint="eastAsia" w:ascii="仿宋" w:hAnsi="仿宋" w:eastAsia="仿宋" w:cs="仿宋"/>
                <w:sz w:val="24"/>
                <w:szCs w:val="24"/>
              </w:rPr>
              <w:t>地址：南京秦淮区光华东街6号世界之窗创意产业园15号楼4楼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6</w:t>
            </w:r>
          </w:p>
        </w:tc>
        <w:tc>
          <w:tcPr>
            <w:tcW w:w="1216" w:type="dxa"/>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sz w:val="24"/>
                <w:szCs w:val="24"/>
              </w:rPr>
              <w:t>采购人</w:t>
            </w:r>
          </w:p>
        </w:tc>
        <w:tc>
          <w:tcPr>
            <w:tcW w:w="8478" w:type="dxa"/>
            <w:vAlign w:val="center"/>
          </w:tcPr>
          <w:p>
            <w:pPr>
              <w:snapToGrid w:val="0"/>
              <w:spacing w:line="0" w:lineRule="atLeast"/>
              <w:rPr>
                <w:rFonts w:ascii="仿宋" w:hAnsi="仿宋" w:eastAsia="仿宋" w:cs="仿宋"/>
                <w:color w:val="000000"/>
                <w:sz w:val="24"/>
                <w:szCs w:val="24"/>
              </w:rPr>
            </w:pPr>
            <w:r>
              <w:rPr>
                <w:rFonts w:hint="eastAsia" w:ascii="仿宋" w:hAnsi="仿宋" w:eastAsia="仿宋" w:cs="仿宋"/>
                <w:color w:val="000000"/>
                <w:sz w:val="24"/>
                <w:szCs w:val="24"/>
              </w:rPr>
              <w:t>江苏省高级人民法院</w:t>
            </w:r>
          </w:p>
          <w:p>
            <w:pPr>
              <w:snapToGrid w:val="0"/>
              <w:spacing w:line="0" w:lineRule="atLeast"/>
              <w:rPr>
                <w:rFonts w:ascii="仿宋" w:hAnsi="仿宋" w:eastAsia="仿宋" w:cs="仿宋"/>
                <w:sz w:val="24"/>
                <w:szCs w:val="24"/>
              </w:rPr>
            </w:pPr>
            <w:r>
              <w:rPr>
                <w:rFonts w:hint="eastAsia" w:ascii="仿宋" w:hAnsi="仿宋" w:eastAsia="仿宋" w:cs="仿宋"/>
                <w:color w:val="000000"/>
                <w:sz w:val="24"/>
                <w:szCs w:val="24"/>
              </w:rPr>
              <w:t>联系人：李老师</w:t>
            </w:r>
            <w:r>
              <w:rPr>
                <w:rFonts w:hint="eastAsia" w:ascii="仿宋" w:hAnsi="仿宋" w:eastAsia="仿宋" w:cs="仿宋"/>
                <w:sz w:val="24"/>
                <w:szCs w:val="24"/>
              </w:rPr>
              <w:t xml:space="preserve">  </w:t>
            </w:r>
          </w:p>
          <w:p>
            <w:pPr>
              <w:snapToGrid w:val="0"/>
              <w:spacing w:line="0" w:lineRule="atLeast"/>
              <w:rPr>
                <w:rFonts w:ascii="仿宋" w:hAnsi="仿宋" w:eastAsia="仿宋" w:cs="仿宋"/>
                <w:sz w:val="24"/>
                <w:szCs w:val="24"/>
              </w:rPr>
            </w:pPr>
            <w:r>
              <w:rPr>
                <w:rFonts w:hint="eastAsia" w:ascii="仿宋" w:hAnsi="仿宋" w:eastAsia="仿宋" w:cs="仿宋"/>
                <w:sz w:val="24"/>
                <w:szCs w:val="24"/>
              </w:rPr>
              <w:t>电话：025-83785017</w:t>
            </w:r>
          </w:p>
          <w:p>
            <w:pPr>
              <w:snapToGrid w:val="0"/>
              <w:spacing w:line="0" w:lineRule="atLeast"/>
              <w:textAlignment w:val="baseline"/>
              <w:rPr>
                <w:rFonts w:ascii="仿宋" w:hAnsi="仿宋" w:eastAsia="仿宋" w:cs="仿宋"/>
                <w:color w:val="FF0000"/>
                <w:sz w:val="24"/>
                <w:szCs w:val="24"/>
              </w:rPr>
            </w:pPr>
            <w:r>
              <w:rPr>
                <w:rFonts w:hint="eastAsia" w:ascii="仿宋" w:hAnsi="仿宋" w:eastAsia="仿宋" w:cs="仿宋"/>
                <w:sz w:val="24"/>
                <w:szCs w:val="24"/>
              </w:rPr>
              <w:t>地址：江苏省南京市鼓楼区宁海路75号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dxa"/>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sz w:val="24"/>
                <w:szCs w:val="24"/>
              </w:rPr>
              <w:t>7</w:t>
            </w:r>
          </w:p>
        </w:tc>
        <w:tc>
          <w:tcPr>
            <w:tcW w:w="1216" w:type="dxa"/>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sz w:val="24"/>
                <w:szCs w:val="24"/>
              </w:rPr>
              <w:t>项目简介</w:t>
            </w:r>
          </w:p>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sz w:val="24"/>
                <w:szCs w:val="24"/>
              </w:rPr>
              <w:t>预算金额</w:t>
            </w:r>
          </w:p>
        </w:tc>
        <w:tc>
          <w:tcPr>
            <w:tcW w:w="8478" w:type="dxa"/>
            <w:vAlign w:val="center"/>
          </w:tcPr>
          <w:p>
            <w:pPr>
              <w:numPr>
                <w:ilvl w:val="0"/>
                <w:numId w:val="3"/>
              </w:numPr>
              <w:snapToGrid w:val="0"/>
              <w:spacing w:line="0" w:lineRule="atLeast"/>
              <w:textAlignment w:val="baseline"/>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b/>
                <w:sz w:val="24"/>
                <w:szCs w:val="24"/>
              </w:rPr>
              <w:t>项目简介</w:t>
            </w:r>
            <w:r>
              <w:rPr>
                <w:rFonts w:hint="eastAsia" w:ascii="仿宋" w:hAnsi="仿宋" w:eastAsia="仿宋" w:cs="仿宋"/>
                <w:color w:val="000000" w:themeColor="text1"/>
                <w:sz w:val="24"/>
                <w:szCs w:val="24"/>
                <w14:textFill>
                  <w14:solidFill>
                    <w14:schemeClr w14:val="tx1"/>
                  </w14:solidFill>
                </w14:textFill>
              </w:rPr>
              <w:t>：</w:t>
            </w:r>
          </w:p>
          <w:p>
            <w:pPr>
              <w:snapToGrid w:val="0"/>
              <w:spacing w:line="0" w:lineRule="atLeast"/>
              <w:ind w:firstLine="480" w:firstLineChars="200"/>
              <w:textAlignment w:val="baseline"/>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sz w:val="24"/>
                <w:szCs w:val="24"/>
              </w:rPr>
              <w:t>江苏省高级人民法院</w:t>
            </w:r>
            <w:r>
              <w:rPr>
                <w:rFonts w:hint="eastAsia" w:ascii="仿宋" w:hAnsi="仿宋" w:eastAsia="仿宋" w:cs="仿宋"/>
                <w:sz w:val="24"/>
                <w:szCs w:val="24"/>
              </w:rPr>
              <w:t>拟采购江苏法院人事管理系统运维服务。（详见项目需求）</w:t>
            </w:r>
          </w:p>
          <w:p>
            <w:pPr>
              <w:shd w:val="clear" w:color="auto" w:fill="FFFFFF" w:themeFill="background1"/>
              <w:snapToGrid w:val="0"/>
              <w:spacing w:line="0" w:lineRule="atLeast"/>
              <w:textAlignment w:val="baseline"/>
              <w:rPr>
                <w:rFonts w:ascii="仿宋" w:hAnsi="仿宋" w:eastAsia="仿宋" w:cs="仿宋"/>
                <w:b/>
                <w:bCs/>
                <w:i/>
                <w:iCs/>
                <w:color w:val="000000"/>
                <w:sz w:val="24"/>
                <w:szCs w:val="24"/>
                <w:u w:val="single" w:color="000000"/>
              </w:rPr>
            </w:pPr>
            <w:r>
              <w:rPr>
                <w:rFonts w:hint="eastAsia" w:ascii="仿宋" w:hAnsi="仿宋" w:eastAsia="仿宋" w:cs="仿宋"/>
                <w:b/>
                <w:color w:val="000000"/>
                <w:sz w:val="24"/>
                <w:szCs w:val="24"/>
              </w:rPr>
              <w:t>2、项目预算</w:t>
            </w:r>
            <w:r>
              <w:rPr>
                <w:rFonts w:hint="eastAsia" w:ascii="仿宋" w:hAnsi="仿宋" w:eastAsia="仿宋" w:cs="仿宋"/>
                <w:b/>
                <w:bCs/>
                <w:sz w:val="24"/>
                <w:szCs w:val="24"/>
              </w:rPr>
              <w:t>及最高限价：</w:t>
            </w:r>
            <w:r>
              <w:rPr>
                <w:rFonts w:hint="eastAsia" w:ascii="仿宋" w:hAnsi="仿宋" w:eastAsia="仿宋" w:cs="仿宋"/>
                <w:b/>
                <w:color w:val="000000"/>
                <w:sz w:val="24"/>
                <w:szCs w:val="24"/>
              </w:rPr>
              <w:t>人民币</w:t>
            </w:r>
            <w:r>
              <w:rPr>
                <w:rFonts w:hint="eastAsia" w:ascii="仿宋" w:hAnsi="仿宋" w:eastAsia="仿宋" w:cs="仿宋"/>
                <w:b/>
                <w:color w:val="000000"/>
                <w:sz w:val="24"/>
                <w:szCs w:val="24"/>
                <w:lang w:val="en-US" w:eastAsia="zh-CN"/>
              </w:rPr>
              <w:t>24</w:t>
            </w:r>
            <w:r>
              <w:rPr>
                <w:rFonts w:hint="eastAsia" w:ascii="仿宋" w:hAnsi="仿宋" w:eastAsia="仿宋" w:cs="仿宋"/>
                <w:b/>
                <w:color w:val="000000"/>
                <w:sz w:val="24"/>
                <w:szCs w:val="24"/>
              </w:rPr>
              <w:t>万元整/</w:t>
            </w:r>
            <w:r>
              <w:rPr>
                <w:rFonts w:hint="eastAsia" w:ascii="仿宋" w:hAnsi="仿宋" w:eastAsia="仿宋" w:cs="仿宋"/>
                <w:b/>
                <w:color w:val="000000"/>
                <w:sz w:val="24"/>
                <w:szCs w:val="24"/>
                <w:lang w:val="en-US" w:eastAsia="zh-CN"/>
              </w:rPr>
              <w:t>两</w:t>
            </w:r>
            <w:bookmarkStart w:id="220" w:name="_GoBack"/>
            <w:bookmarkEnd w:id="220"/>
            <w:r>
              <w:rPr>
                <w:rFonts w:hint="eastAsia" w:ascii="仿宋" w:hAnsi="仿宋" w:eastAsia="仿宋" w:cs="仿宋"/>
                <w:b/>
                <w:color w:val="000000"/>
                <w:sz w:val="24"/>
                <w:szCs w:val="24"/>
              </w:rPr>
              <w:t>年，服务期两年。</w:t>
            </w:r>
          </w:p>
          <w:p>
            <w:pPr>
              <w:snapToGrid w:val="0"/>
              <w:spacing w:line="0" w:lineRule="atLeast"/>
              <w:ind w:firstLine="480" w:firstLineChars="200"/>
              <w:jc w:val="left"/>
              <w:textAlignment w:val="baseline"/>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磋商小组进行综合评分后按综合评分由高到低推荐三名成交候选供应商，采购人在推荐的成交候选供应商名单中按顺序确定一名成交供应商。</w:t>
            </w:r>
          </w:p>
          <w:p>
            <w:pPr>
              <w:shd w:val="clear" w:color="auto" w:fill="FFFFFF" w:themeFill="background1"/>
              <w:snapToGrid w:val="0"/>
              <w:spacing w:line="0" w:lineRule="atLeast"/>
              <w:ind w:firstLine="482" w:firstLineChars="200"/>
              <w:textAlignment w:val="baseline"/>
              <w:rPr>
                <w:rFonts w:ascii="仿宋" w:hAnsi="仿宋" w:eastAsia="仿宋" w:cs="仿宋"/>
                <w:color w:val="000000"/>
                <w:sz w:val="24"/>
                <w:szCs w:val="24"/>
              </w:rPr>
            </w:pPr>
            <w:r>
              <w:rPr>
                <w:rFonts w:hint="eastAsia" w:ascii="仿宋" w:hAnsi="仿宋" w:eastAsia="仿宋" w:cs="仿宋"/>
                <w:b/>
                <w:bCs/>
                <w:i/>
                <w:iCs/>
                <w:sz w:val="24"/>
                <w:szCs w:val="24"/>
                <w:u w:val="single" w:color="000000"/>
              </w:rPr>
              <w:t>报价超过预算的视为无效响应。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14"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8</w:t>
            </w:r>
          </w:p>
        </w:tc>
        <w:tc>
          <w:tcPr>
            <w:tcW w:w="1216"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sz w:val="24"/>
                <w:szCs w:val="24"/>
              </w:rPr>
              <w:t>磋商保证金</w:t>
            </w:r>
          </w:p>
        </w:tc>
        <w:tc>
          <w:tcPr>
            <w:tcW w:w="8478" w:type="dxa"/>
            <w:vAlign w:val="center"/>
          </w:tcPr>
          <w:p>
            <w:pPr>
              <w:snapToGrid w:val="0"/>
              <w:spacing w:line="0" w:lineRule="atLeast"/>
              <w:textAlignment w:val="baseline"/>
              <w:rPr>
                <w:rFonts w:ascii="仿宋" w:hAnsi="仿宋" w:eastAsia="仿宋" w:cs="仿宋"/>
                <w:b/>
                <w:bCs/>
                <w:color w:val="000000"/>
                <w:sz w:val="24"/>
                <w:szCs w:val="24"/>
              </w:rPr>
            </w:pPr>
            <w:r>
              <w:rPr>
                <w:rFonts w:ascii="Times New Roman" w:hAnsi="Times New Roman" w:eastAsia="仿宋" w:cs="Times New Roman"/>
                <w:b/>
                <w:bCs/>
                <w:sz w:val="24"/>
                <w:szCs w:val="24"/>
              </w:rPr>
              <w:t>本项目不收取保证金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714" w:type="dxa"/>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sz w:val="24"/>
                <w:szCs w:val="24"/>
              </w:rPr>
              <w:t>9</w:t>
            </w:r>
          </w:p>
        </w:tc>
        <w:tc>
          <w:tcPr>
            <w:tcW w:w="1216" w:type="dxa"/>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sz w:val="24"/>
                <w:szCs w:val="24"/>
              </w:rPr>
              <w:t>答疑</w:t>
            </w:r>
          </w:p>
        </w:tc>
        <w:tc>
          <w:tcPr>
            <w:tcW w:w="8478" w:type="dxa"/>
            <w:vAlign w:val="center"/>
          </w:tcPr>
          <w:p>
            <w:pPr>
              <w:snapToGrid w:val="0"/>
              <w:spacing w:line="0" w:lineRule="atLeast"/>
              <w:textAlignment w:val="baseline"/>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本项目不进行答疑会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714" w:type="dxa"/>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sz w:val="24"/>
                <w:szCs w:val="24"/>
              </w:rPr>
              <w:t>10</w:t>
            </w:r>
          </w:p>
        </w:tc>
        <w:tc>
          <w:tcPr>
            <w:tcW w:w="1216" w:type="dxa"/>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sz w:val="24"/>
                <w:szCs w:val="24"/>
              </w:rPr>
              <w:t>勘察</w:t>
            </w:r>
          </w:p>
        </w:tc>
        <w:tc>
          <w:tcPr>
            <w:tcW w:w="8478" w:type="dxa"/>
            <w:vAlign w:val="center"/>
          </w:tcPr>
          <w:p>
            <w:pPr>
              <w:snapToGrid w:val="0"/>
              <w:spacing w:line="0" w:lineRule="atLeast"/>
              <w:textAlignment w:val="baseline"/>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本项目不进行</w:t>
            </w:r>
            <w:r>
              <w:rPr>
                <w:rFonts w:hint="eastAsia" w:ascii="仿宋" w:hAnsi="仿宋" w:eastAsia="仿宋" w:cs="仿宋"/>
                <w:sz w:val="24"/>
                <w:szCs w:val="24"/>
              </w:rPr>
              <w:t>勘察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714" w:type="dxa"/>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sz w:val="24"/>
                <w:szCs w:val="24"/>
              </w:rPr>
              <w:t>11</w:t>
            </w:r>
          </w:p>
        </w:tc>
        <w:tc>
          <w:tcPr>
            <w:tcW w:w="1216" w:type="dxa"/>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color w:val="000000"/>
                <w:sz w:val="24"/>
                <w:szCs w:val="24"/>
              </w:rPr>
              <w:t>响应文件接收</w:t>
            </w:r>
          </w:p>
        </w:tc>
        <w:tc>
          <w:tcPr>
            <w:tcW w:w="8478" w:type="dxa"/>
            <w:vAlign w:val="center"/>
          </w:tcPr>
          <w:p>
            <w:pPr>
              <w:snapToGrid w:val="0"/>
              <w:spacing w:line="0" w:lineRule="atLeast"/>
              <w:textAlignment w:val="baseline"/>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接收响应文件时间：2023年</w:t>
            </w:r>
            <w:r>
              <w:rPr>
                <w:rFonts w:hint="eastAsia" w:ascii="仿宋" w:hAnsi="仿宋" w:eastAsia="仿宋" w:cs="仿宋"/>
                <w:color w:val="000000" w:themeColor="text1"/>
                <w:sz w:val="24"/>
                <w:szCs w:val="24"/>
                <w:lang w:val="en-US" w:eastAsia="zh-CN"/>
                <w14:textFill>
                  <w14:solidFill>
                    <w14:schemeClr w14:val="tx1"/>
                  </w14:solidFill>
                </w14:textFill>
              </w:rPr>
              <w:t>12</w:t>
            </w:r>
            <w:r>
              <w:rPr>
                <w:rFonts w:hint="eastAsia" w:ascii="仿宋" w:hAnsi="仿宋" w:eastAsia="仿宋" w:cs="仿宋"/>
                <w:color w:val="000000" w:themeColor="text1"/>
                <w:sz w:val="24"/>
                <w:szCs w:val="24"/>
                <w14:textFill>
                  <w14:solidFill>
                    <w14:schemeClr w14:val="tx1"/>
                  </w14:solidFill>
                </w14:textFill>
              </w:rPr>
              <w:t>月</w:t>
            </w:r>
            <w:r>
              <w:rPr>
                <w:rFonts w:hint="eastAsia" w:ascii="仿宋" w:hAnsi="仿宋" w:eastAsia="仿宋" w:cs="仿宋"/>
                <w:color w:val="000000" w:themeColor="text1"/>
                <w:sz w:val="24"/>
                <w:szCs w:val="24"/>
                <w:lang w:val="en-US" w:eastAsia="zh-CN"/>
                <w14:textFill>
                  <w14:solidFill>
                    <w14:schemeClr w14:val="tx1"/>
                  </w14:solidFill>
                </w14:textFill>
              </w:rPr>
              <w:t>18</w:t>
            </w:r>
            <w:r>
              <w:rPr>
                <w:rFonts w:hint="eastAsia" w:ascii="仿宋" w:hAnsi="仿宋" w:eastAsia="仿宋" w:cs="仿宋"/>
                <w:color w:val="000000" w:themeColor="text1"/>
                <w:sz w:val="24"/>
                <w:szCs w:val="24"/>
                <w14:textFill>
                  <w14:solidFill>
                    <w14:schemeClr w14:val="tx1"/>
                  </w14:solidFill>
                </w14:textFill>
              </w:rPr>
              <w:t>日下午</w:t>
            </w:r>
            <w:r>
              <w:rPr>
                <w:rFonts w:hint="eastAsia" w:ascii="仿宋" w:hAnsi="仿宋" w:eastAsia="仿宋" w:cs="仿宋"/>
                <w:color w:val="000000" w:themeColor="text1"/>
                <w:sz w:val="24"/>
                <w:szCs w:val="24"/>
                <w:lang w:val="en-US" w:eastAsia="zh-CN"/>
                <w14:textFill>
                  <w14:solidFill>
                    <w14:schemeClr w14:val="tx1"/>
                  </w14:solidFill>
                </w14:textFill>
              </w:rPr>
              <w:t>13</w:t>
            </w: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0-</w:t>
            </w:r>
            <w:r>
              <w:rPr>
                <w:rFonts w:hint="eastAsia" w:ascii="仿宋" w:hAnsi="仿宋" w:eastAsia="仿宋" w:cs="仿宋"/>
                <w:color w:val="000000" w:themeColor="text1"/>
                <w:sz w:val="24"/>
                <w:szCs w:val="24"/>
                <w:lang w:val="en-US" w:eastAsia="zh-CN"/>
                <w14:textFill>
                  <w14:solidFill>
                    <w14:schemeClr w14:val="tx1"/>
                  </w14:solidFill>
                </w14:textFill>
              </w:rPr>
              <w:t>14</w:t>
            </w:r>
            <w:r>
              <w:rPr>
                <w:rFonts w:hint="eastAsia" w:ascii="仿宋" w:hAnsi="仿宋" w:eastAsia="仿宋" w:cs="仿宋"/>
                <w:color w:val="000000" w:themeColor="text1"/>
                <w:sz w:val="24"/>
                <w:szCs w:val="24"/>
                <w14:textFill>
                  <w14:solidFill>
                    <w14:schemeClr w14:val="tx1"/>
                  </w14:solidFill>
                </w14:textFill>
              </w:rPr>
              <w:t>:00</w:t>
            </w:r>
          </w:p>
          <w:p>
            <w:pPr>
              <w:snapToGrid w:val="0"/>
              <w:spacing w:line="0" w:lineRule="atLeast"/>
              <w:ind w:left="1200" w:hanging="1200" w:hangingChars="500"/>
              <w:textAlignment w:val="baseline"/>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接收地点：</w:t>
            </w:r>
            <w:r>
              <w:rPr>
                <w:rFonts w:hint="eastAsia" w:ascii="仿宋" w:hAnsi="仿宋" w:eastAsia="仿宋" w:cs="仿宋"/>
                <w:sz w:val="24"/>
                <w:szCs w:val="24"/>
              </w:rPr>
              <w:t>南京秦淮区光华东街6号世界之窗创意产业园15号楼3楼左边会议室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714" w:type="dxa"/>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sz w:val="24"/>
                <w:szCs w:val="24"/>
              </w:rPr>
              <w:t>12</w:t>
            </w:r>
          </w:p>
        </w:tc>
        <w:tc>
          <w:tcPr>
            <w:tcW w:w="1216" w:type="dxa"/>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color w:val="000000"/>
                <w:sz w:val="24"/>
                <w:szCs w:val="24"/>
              </w:rPr>
              <w:t>响应文件</w:t>
            </w:r>
            <w:r>
              <w:rPr>
                <w:rFonts w:hint="eastAsia" w:ascii="仿宋" w:hAnsi="仿宋" w:eastAsia="仿宋" w:cs="仿宋"/>
                <w:sz w:val="24"/>
                <w:szCs w:val="24"/>
              </w:rPr>
              <w:t>数量</w:t>
            </w:r>
          </w:p>
        </w:tc>
        <w:tc>
          <w:tcPr>
            <w:tcW w:w="8478" w:type="dxa"/>
            <w:vAlign w:val="center"/>
          </w:tcPr>
          <w:p>
            <w:pPr>
              <w:snapToGrid w:val="0"/>
              <w:spacing w:line="0" w:lineRule="atLeast"/>
              <w:textAlignment w:val="baseline"/>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正本份数：1份</w:t>
            </w:r>
          </w:p>
          <w:p>
            <w:pPr>
              <w:snapToGrid w:val="0"/>
              <w:spacing w:line="0" w:lineRule="atLeast"/>
              <w:textAlignment w:val="baseline"/>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副本份数：3份  </w:t>
            </w:r>
          </w:p>
          <w:p>
            <w:pPr>
              <w:snapToGrid w:val="0"/>
              <w:spacing w:line="0" w:lineRule="atLeast"/>
              <w:textAlignment w:val="baseline"/>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电子文档：1份</w:t>
            </w:r>
            <w:r>
              <w:rPr>
                <w:rFonts w:hint="eastAsia" w:ascii="仿宋" w:hAnsi="仿宋" w:eastAsia="仿宋" w:cs="仿宋"/>
                <w:b/>
                <w:bCs/>
                <w:i/>
                <w:iCs/>
                <w:color w:val="000000" w:themeColor="text1"/>
                <w:sz w:val="24"/>
                <w:szCs w:val="24"/>
                <w:u w:val="single" w:color="000000"/>
                <w14:textFill>
                  <w14:solidFill>
                    <w14:schemeClr w14:val="tx1"/>
                  </w14:solidFill>
                </w14:textFill>
              </w:rPr>
              <w:t>（U盘与正本封装，提供PDF版，封面及签章部分须盖章签字）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714"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sz w:val="24"/>
                <w:szCs w:val="24"/>
              </w:rPr>
              <w:t>13</w:t>
            </w:r>
          </w:p>
        </w:tc>
        <w:tc>
          <w:tcPr>
            <w:tcW w:w="1216" w:type="dxa"/>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color w:val="000000"/>
                <w:sz w:val="24"/>
                <w:szCs w:val="24"/>
              </w:rPr>
              <w:t>响应文件</w:t>
            </w:r>
            <w:r>
              <w:rPr>
                <w:rFonts w:hint="eastAsia" w:ascii="仿宋" w:hAnsi="仿宋" w:eastAsia="仿宋" w:cs="仿宋"/>
                <w:sz w:val="24"/>
                <w:szCs w:val="24"/>
              </w:rPr>
              <w:t>启封</w:t>
            </w:r>
          </w:p>
        </w:tc>
        <w:tc>
          <w:tcPr>
            <w:tcW w:w="8478" w:type="dxa"/>
            <w:vAlign w:val="center"/>
          </w:tcPr>
          <w:p>
            <w:pPr>
              <w:snapToGrid w:val="0"/>
              <w:spacing w:line="0" w:lineRule="atLeast"/>
              <w:textAlignment w:val="baseline"/>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时间：2023年</w:t>
            </w:r>
            <w:r>
              <w:rPr>
                <w:rFonts w:hint="eastAsia" w:ascii="仿宋" w:hAnsi="仿宋" w:eastAsia="仿宋" w:cs="仿宋"/>
                <w:color w:val="000000" w:themeColor="text1"/>
                <w:sz w:val="24"/>
                <w:szCs w:val="24"/>
                <w:lang w:val="en-US" w:eastAsia="zh-CN"/>
                <w14:textFill>
                  <w14:solidFill>
                    <w14:schemeClr w14:val="tx1"/>
                  </w14:solidFill>
                </w14:textFill>
              </w:rPr>
              <w:t>12</w:t>
            </w:r>
            <w:r>
              <w:rPr>
                <w:rFonts w:hint="eastAsia" w:ascii="仿宋" w:hAnsi="仿宋" w:eastAsia="仿宋" w:cs="仿宋"/>
                <w:color w:val="000000"/>
                <w:sz w:val="24"/>
                <w:szCs w:val="24"/>
              </w:rPr>
              <w:t>月</w:t>
            </w:r>
            <w:r>
              <w:rPr>
                <w:rFonts w:hint="eastAsia" w:ascii="仿宋" w:hAnsi="仿宋" w:eastAsia="仿宋" w:cs="仿宋"/>
                <w:color w:val="000000" w:themeColor="text1"/>
                <w:sz w:val="24"/>
                <w:szCs w:val="24"/>
                <w:lang w:val="en-US" w:eastAsia="zh-CN"/>
                <w14:textFill>
                  <w14:solidFill>
                    <w14:schemeClr w14:val="tx1"/>
                  </w14:solidFill>
                </w14:textFill>
              </w:rPr>
              <w:t>18</w:t>
            </w:r>
            <w:r>
              <w:rPr>
                <w:rFonts w:hint="eastAsia" w:ascii="仿宋" w:hAnsi="仿宋" w:eastAsia="仿宋" w:cs="仿宋"/>
                <w:color w:val="000000"/>
                <w:sz w:val="24"/>
                <w:szCs w:val="24"/>
              </w:rPr>
              <w:t>日</w:t>
            </w:r>
            <w:r>
              <w:rPr>
                <w:rFonts w:hint="eastAsia" w:ascii="仿宋" w:hAnsi="仿宋" w:eastAsia="仿宋" w:cs="仿宋"/>
                <w:color w:val="000000" w:themeColor="text1"/>
                <w:sz w:val="24"/>
                <w:szCs w:val="24"/>
                <w14:textFill>
                  <w14:solidFill>
                    <w14:schemeClr w14:val="tx1"/>
                  </w14:solidFill>
                </w14:textFill>
              </w:rPr>
              <w:t>下午</w:t>
            </w:r>
            <w:r>
              <w:rPr>
                <w:rFonts w:hint="eastAsia" w:ascii="仿宋" w:hAnsi="仿宋" w:eastAsia="仿宋" w:cs="仿宋"/>
                <w:color w:val="000000" w:themeColor="text1"/>
                <w:sz w:val="24"/>
                <w:szCs w:val="24"/>
                <w:lang w:val="en-US" w:eastAsia="zh-CN"/>
                <w14:textFill>
                  <w14:solidFill>
                    <w14:schemeClr w14:val="tx1"/>
                  </w14:solidFill>
                </w14:textFill>
              </w:rPr>
              <w:t>14</w:t>
            </w:r>
            <w:r>
              <w:rPr>
                <w:rFonts w:hint="eastAsia" w:ascii="仿宋" w:hAnsi="仿宋" w:eastAsia="仿宋" w:cs="仿宋"/>
                <w:color w:val="000000" w:themeColor="text1"/>
                <w:sz w:val="24"/>
                <w:szCs w:val="24"/>
                <w14:textFill>
                  <w14:solidFill>
                    <w14:schemeClr w14:val="tx1"/>
                  </w14:solidFill>
                </w14:textFill>
              </w:rPr>
              <w:t>:00</w:t>
            </w:r>
          </w:p>
          <w:p>
            <w:pPr>
              <w:snapToGrid w:val="0"/>
              <w:spacing w:line="0" w:lineRule="atLeast"/>
              <w:ind w:left="720" w:hanging="720" w:hangingChars="300"/>
              <w:textAlignment w:val="baseline"/>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地点：</w:t>
            </w:r>
            <w:r>
              <w:rPr>
                <w:rFonts w:hint="eastAsia" w:ascii="仿宋" w:hAnsi="仿宋" w:eastAsia="仿宋" w:cs="仿宋"/>
                <w:sz w:val="24"/>
                <w:szCs w:val="24"/>
              </w:rPr>
              <w:t>南京秦淮区光华东街6号世界之窗创意产业园15号楼4楼会议室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14" w:type="dxa"/>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14</w:t>
            </w:r>
          </w:p>
        </w:tc>
        <w:tc>
          <w:tcPr>
            <w:tcW w:w="1216" w:type="dxa"/>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color w:val="000000"/>
                <w:sz w:val="24"/>
                <w:szCs w:val="24"/>
              </w:rPr>
              <w:t>响应文件</w:t>
            </w:r>
            <w:r>
              <w:rPr>
                <w:rFonts w:hint="eastAsia" w:ascii="仿宋" w:hAnsi="仿宋" w:eastAsia="仿宋" w:cs="仿宋"/>
                <w:sz w:val="24"/>
                <w:szCs w:val="24"/>
              </w:rPr>
              <w:t>有效期</w:t>
            </w:r>
          </w:p>
        </w:tc>
        <w:tc>
          <w:tcPr>
            <w:tcW w:w="8478" w:type="dxa"/>
            <w:vAlign w:val="center"/>
          </w:tcPr>
          <w:p>
            <w:pPr>
              <w:snapToGrid w:val="0"/>
              <w:spacing w:line="0" w:lineRule="atLeast"/>
              <w:textAlignment w:val="baseline"/>
              <w:rPr>
                <w:rFonts w:ascii="仿宋" w:hAnsi="仿宋" w:eastAsia="仿宋" w:cs="仿宋"/>
                <w:sz w:val="24"/>
                <w:szCs w:val="24"/>
              </w:rPr>
            </w:pPr>
            <w:r>
              <w:rPr>
                <w:rFonts w:hint="eastAsia" w:ascii="仿宋" w:hAnsi="仿宋" w:eastAsia="仿宋" w:cs="仿宋"/>
                <w:color w:val="000000" w:themeColor="text1"/>
                <w:sz w:val="24"/>
                <w:szCs w:val="24"/>
                <w14:textFill>
                  <w14:solidFill>
                    <w14:schemeClr w14:val="tx1"/>
                  </w14:solidFill>
                </w14:textFill>
              </w:rPr>
              <w:t>响应截止时间后九十天</w:t>
            </w:r>
          </w:p>
        </w:tc>
      </w:tr>
    </w:tbl>
    <w:p>
      <w:pPr>
        <w:snapToGrid w:val="0"/>
        <w:spacing w:line="360" w:lineRule="auto"/>
        <w:textAlignment w:val="baseline"/>
        <w:rPr>
          <w:rFonts w:ascii="仿宋" w:hAnsi="仿宋" w:eastAsia="仿宋" w:cs="仿宋"/>
          <w:b/>
          <w:bCs/>
          <w:color w:val="000000"/>
          <w:sz w:val="24"/>
          <w:szCs w:val="24"/>
        </w:rPr>
      </w:pPr>
      <w:r>
        <w:rPr>
          <w:rFonts w:hint="eastAsia" w:ascii="仿宋" w:hAnsi="仿宋" w:eastAsia="仿宋" w:cs="仿宋"/>
          <w:b/>
          <w:bCs/>
          <w:color w:val="000000"/>
          <w:sz w:val="24"/>
          <w:szCs w:val="24"/>
        </w:rPr>
        <w:t>二、合格供应商资格要求</w:t>
      </w:r>
    </w:p>
    <w:p>
      <w:pPr>
        <w:snapToGrid w:val="0"/>
        <w:spacing w:line="360" w:lineRule="auto"/>
        <w:ind w:firstLine="360" w:firstLineChars="150"/>
        <w:textAlignment w:val="baseline"/>
        <w:rPr>
          <w:rFonts w:ascii="仿宋" w:hAnsi="仿宋" w:eastAsia="仿宋" w:cs="仿宋"/>
          <w:color w:val="000000"/>
          <w:sz w:val="24"/>
          <w:szCs w:val="24"/>
        </w:rPr>
      </w:pPr>
      <w:bookmarkStart w:id="2" w:name="_Toc25170480"/>
      <w:bookmarkStart w:id="3" w:name="_Toc3756"/>
      <w:bookmarkStart w:id="4" w:name="_Toc18049"/>
      <w:bookmarkStart w:id="5" w:name="_Toc18354"/>
      <w:bookmarkStart w:id="6" w:name="_Toc15218"/>
      <w:r>
        <w:rPr>
          <w:rFonts w:hint="eastAsia" w:ascii="仿宋" w:hAnsi="仿宋" w:eastAsia="仿宋" w:cs="仿宋"/>
          <w:color w:val="000000"/>
          <w:sz w:val="24"/>
          <w:szCs w:val="24"/>
        </w:rPr>
        <w:t>（一）符合政府采购法第二十二条规定的条件，并提供下列材料：</w:t>
      </w:r>
    </w:p>
    <w:p>
      <w:pPr>
        <w:snapToGrid w:val="0"/>
        <w:spacing w:line="360" w:lineRule="auto"/>
        <w:ind w:firstLine="480" w:firstLineChars="200"/>
        <w:textAlignment w:val="baseline"/>
        <w:rPr>
          <w:rFonts w:ascii="仿宋" w:hAnsi="仿宋" w:eastAsia="仿宋" w:cs="仿宋"/>
          <w:color w:val="000000"/>
          <w:sz w:val="24"/>
          <w:szCs w:val="24"/>
        </w:rPr>
      </w:pPr>
      <w:r>
        <w:rPr>
          <w:rFonts w:hint="eastAsia" w:ascii="仿宋" w:hAnsi="仿宋" w:eastAsia="仿宋" w:cs="仿宋"/>
          <w:color w:val="000000"/>
          <w:sz w:val="24"/>
          <w:szCs w:val="24"/>
        </w:rPr>
        <w:t>1、具有独立承担民事责任的能力（提供法人或者其他组织的营业执照复印件并加盖公章，或者自然人的身份证明）；</w:t>
      </w:r>
    </w:p>
    <w:p>
      <w:pPr>
        <w:snapToGrid w:val="0"/>
        <w:spacing w:line="360" w:lineRule="auto"/>
        <w:ind w:firstLine="480" w:firstLineChars="200"/>
        <w:textAlignment w:val="baseline"/>
        <w:rPr>
          <w:rFonts w:ascii="仿宋" w:hAnsi="仿宋" w:eastAsia="仿宋" w:cs="仿宋"/>
          <w:color w:val="000000"/>
          <w:sz w:val="24"/>
          <w:szCs w:val="24"/>
        </w:rPr>
      </w:pPr>
      <w:r>
        <w:rPr>
          <w:rFonts w:hint="eastAsia" w:ascii="仿宋" w:hAnsi="仿宋" w:eastAsia="仿宋" w:cs="仿宋"/>
          <w:color w:val="000000"/>
          <w:sz w:val="24"/>
          <w:szCs w:val="24"/>
        </w:rPr>
        <w:t>2、具有良好的商业信誉和健全的财务会计制度（提供2022年度财务报告或银行出具的企业资信证明，法人或者其他组织成立未满一年的可提供近半年内任一月的资产负债和利润表）；</w:t>
      </w:r>
    </w:p>
    <w:p>
      <w:pPr>
        <w:snapToGrid w:val="0"/>
        <w:spacing w:line="360" w:lineRule="auto"/>
        <w:ind w:firstLine="480" w:firstLineChars="200"/>
        <w:textAlignment w:val="baseline"/>
        <w:rPr>
          <w:rFonts w:ascii="仿宋" w:hAnsi="仿宋" w:eastAsia="仿宋" w:cs="仿宋"/>
          <w:color w:val="000000"/>
          <w:sz w:val="24"/>
          <w:szCs w:val="24"/>
        </w:rPr>
      </w:pPr>
      <w:r>
        <w:rPr>
          <w:rFonts w:hint="eastAsia" w:ascii="仿宋" w:hAnsi="仿宋" w:eastAsia="仿宋" w:cs="仿宋"/>
          <w:color w:val="000000"/>
          <w:sz w:val="24"/>
          <w:szCs w:val="24"/>
        </w:rPr>
        <w:t>3、具有履行合同所必需的设备和专业技术能力（根据项目需求提供履行合同所必需的设备和专业技术能力的证明材料或声明函）；</w:t>
      </w:r>
    </w:p>
    <w:p>
      <w:pPr>
        <w:snapToGrid w:val="0"/>
        <w:spacing w:line="360" w:lineRule="auto"/>
        <w:ind w:firstLine="480" w:firstLineChars="200"/>
        <w:textAlignment w:val="baseline"/>
        <w:rPr>
          <w:rFonts w:ascii="仿宋" w:hAnsi="仿宋" w:eastAsia="仿宋" w:cs="仿宋"/>
          <w:color w:val="000000"/>
          <w:sz w:val="24"/>
          <w:szCs w:val="24"/>
        </w:rPr>
      </w:pPr>
      <w:r>
        <w:rPr>
          <w:rFonts w:hint="eastAsia" w:ascii="仿宋" w:hAnsi="仿宋" w:eastAsia="仿宋" w:cs="仿宋"/>
          <w:color w:val="000000"/>
          <w:sz w:val="24"/>
          <w:szCs w:val="24"/>
        </w:rPr>
        <w:t>4、有依法缴纳税收和社会保障资金的良好记录（提供参加本次采购活动前近六个月内任一月份依法缴纳税收及社会保险的凭据。依法免缴、迟缴的应提供相应文件证明）；</w:t>
      </w:r>
    </w:p>
    <w:p>
      <w:pPr>
        <w:snapToGrid w:val="0"/>
        <w:spacing w:line="360" w:lineRule="auto"/>
        <w:ind w:firstLine="480" w:firstLineChars="200"/>
        <w:textAlignment w:val="baseline"/>
        <w:rPr>
          <w:rFonts w:ascii="仿宋" w:hAnsi="仿宋" w:eastAsia="仿宋" w:cs="仿宋"/>
          <w:color w:val="000000"/>
          <w:sz w:val="24"/>
          <w:szCs w:val="24"/>
        </w:rPr>
      </w:pPr>
      <w:r>
        <w:rPr>
          <w:rFonts w:hint="eastAsia" w:ascii="仿宋" w:hAnsi="仿宋" w:eastAsia="仿宋" w:cs="仿宋"/>
          <w:color w:val="000000"/>
          <w:sz w:val="24"/>
          <w:szCs w:val="24"/>
        </w:rPr>
        <w:t>5、参加本次采购活动前3年内在经营活动中没有重大违法记录（提供参加本次采购活动前3年内在经营活动中没有重大违法记录的书面声明）；</w:t>
      </w:r>
    </w:p>
    <w:p>
      <w:pPr>
        <w:snapToGrid w:val="0"/>
        <w:spacing w:line="360" w:lineRule="auto"/>
        <w:ind w:firstLine="480" w:firstLineChars="200"/>
        <w:textAlignment w:val="baseline"/>
        <w:rPr>
          <w:rFonts w:ascii="仿宋" w:hAnsi="仿宋" w:eastAsia="仿宋" w:cs="仿宋"/>
          <w:color w:val="FF0000"/>
          <w:sz w:val="24"/>
          <w:szCs w:val="24"/>
        </w:rPr>
      </w:pPr>
      <w:r>
        <w:rPr>
          <w:rFonts w:hint="eastAsia" w:ascii="仿宋" w:hAnsi="仿宋" w:eastAsia="仿宋" w:cs="仿宋"/>
          <w:color w:val="000000"/>
          <w:sz w:val="24"/>
          <w:szCs w:val="24"/>
        </w:rPr>
        <w:t>6、法律、行政法规规定的其他条件。</w:t>
      </w:r>
    </w:p>
    <w:p>
      <w:pPr>
        <w:snapToGrid w:val="0"/>
        <w:spacing w:line="360" w:lineRule="auto"/>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（二）</w:t>
      </w:r>
      <w:r>
        <w:rPr>
          <w:rFonts w:hint="eastAsia" w:ascii="仿宋" w:hAnsi="仿宋" w:eastAsia="仿宋" w:cs="仿宋"/>
          <w:sz w:val="24"/>
          <w:szCs w:val="24"/>
        </w:rPr>
        <w:t>落实政府采购政策需满足的资格要求：无。</w:t>
      </w:r>
    </w:p>
    <w:p>
      <w:pPr>
        <w:snapToGrid w:val="0"/>
        <w:spacing w:line="360" w:lineRule="auto"/>
        <w:ind w:firstLine="480" w:firstLineChars="200"/>
        <w:textAlignment w:val="baseline"/>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sz w:val="24"/>
          <w:szCs w:val="24"/>
        </w:rPr>
        <w:t>（三）</w:t>
      </w:r>
      <w:r>
        <w:rPr>
          <w:rFonts w:hint="eastAsia" w:ascii="仿宋" w:hAnsi="仿宋" w:eastAsia="仿宋" w:cs="仿宋"/>
          <w:color w:val="000000" w:themeColor="text1"/>
          <w:sz w:val="24"/>
          <w:szCs w:val="24"/>
          <w14:textFill>
            <w14:solidFill>
              <w14:schemeClr w14:val="tx1"/>
            </w14:solidFill>
          </w14:textFill>
        </w:rPr>
        <w:t>本项目不接受联合体参与磋商。</w:t>
      </w:r>
    </w:p>
    <w:p>
      <w:pPr>
        <w:snapToGrid w:val="0"/>
        <w:spacing w:line="360" w:lineRule="auto"/>
        <w:ind w:firstLine="480" w:firstLineChars="200"/>
        <w:textAlignment w:val="baseline"/>
        <w:rPr>
          <w:rFonts w:eastAsia="仿宋"/>
        </w:rPr>
      </w:pPr>
      <w:r>
        <w:rPr>
          <w:rFonts w:hint="eastAsia" w:ascii="仿宋" w:hAnsi="仿宋" w:eastAsia="仿宋" w:cs="仿宋"/>
          <w:sz w:val="24"/>
          <w:szCs w:val="24"/>
        </w:rPr>
        <w:t>（四）其他资格条件：无。</w:t>
      </w:r>
    </w:p>
    <w:p>
      <w:pPr>
        <w:snapToGrid w:val="0"/>
        <w:spacing w:line="360" w:lineRule="auto"/>
        <w:ind w:firstLine="480" w:firstLineChars="200"/>
        <w:textAlignment w:val="baseline"/>
        <w:rPr>
          <w:rFonts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五</w:t>
      </w:r>
      <w:r>
        <w:rPr>
          <w:rFonts w:hint="eastAsia" w:ascii="仿宋" w:hAnsi="仿宋" w:eastAsia="仿宋" w:cs="仿宋"/>
          <w:sz w:val="24"/>
          <w:szCs w:val="24"/>
        </w:rPr>
        <w:t>）拒绝下述供应商参加本次采购活动：</w:t>
      </w:r>
    </w:p>
    <w:p>
      <w:pPr>
        <w:snapToGrid w:val="0"/>
        <w:spacing w:line="360" w:lineRule="auto"/>
        <w:ind w:firstLine="480" w:firstLineChars="200"/>
        <w:textAlignment w:val="baseline"/>
        <w:rPr>
          <w:rFonts w:ascii="仿宋" w:hAnsi="仿宋" w:eastAsia="仿宋" w:cs="仿宋"/>
          <w:sz w:val="24"/>
          <w:szCs w:val="32"/>
        </w:rPr>
      </w:pPr>
      <w:r>
        <w:rPr>
          <w:rFonts w:hint="eastAsia" w:ascii="仿宋" w:hAnsi="仿宋" w:eastAsia="仿宋" w:cs="仿宋"/>
          <w:sz w:val="24"/>
          <w:szCs w:val="32"/>
        </w:rPr>
        <w:t>1、凡为采购项目提供整体设计、规范编制或者项目管理、监理、检测等服务的供应商。</w:t>
      </w:r>
      <w:r>
        <w:rPr>
          <w:rFonts w:hint="eastAsia" w:ascii="仿宋" w:hAnsi="仿宋" w:eastAsia="仿宋" w:cs="仿宋"/>
          <w:sz w:val="24"/>
          <w:szCs w:val="32"/>
        </w:rPr>
        <w:br w:type="textWrapping"/>
      </w:r>
      <w:r>
        <w:rPr>
          <w:rFonts w:hint="eastAsia" w:ascii="仿宋" w:hAnsi="仿宋" w:eastAsia="仿宋" w:cs="仿宋"/>
          <w:sz w:val="24"/>
          <w:szCs w:val="32"/>
        </w:rPr>
        <w:t xml:space="preserve">    2、供应商单位负责人为同一人或者存在直接控股、管理关系的不同供应商,不得参加同一合同项下的采购活动。</w:t>
      </w:r>
    </w:p>
    <w:p>
      <w:pPr>
        <w:snapToGrid w:val="0"/>
        <w:spacing w:line="360" w:lineRule="auto"/>
        <w:ind w:firstLine="480" w:firstLineChars="200"/>
        <w:textAlignment w:val="baseline"/>
        <w:rPr>
          <w:rFonts w:ascii="仿宋" w:hAnsi="仿宋" w:eastAsia="仿宋" w:cs="仿宋"/>
          <w:color w:val="000000"/>
          <w:sz w:val="24"/>
          <w:szCs w:val="24"/>
        </w:rPr>
      </w:pPr>
      <w:r>
        <w:rPr>
          <w:rFonts w:hint="eastAsia" w:ascii="仿宋" w:hAnsi="仿宋" w:eastAsia="仿宋" w:cs="仿宋"/>
          <w:sz w:val="24"/>
          <w:szCs w:val="32"/>
        </w:rPr>
        <w:t>3、在磋商截止日前被“信用中国”网站(www.creditchina.gov.cn)、中国政府采购网(www.ccgp.gov.cn) 列入失信被执行人、重大税收违法案件当事人、政府采购严重违法失信行为记录名单的供应商。</w:t>
      </w:r>
    </w:p>
    <w:p>
      <w:pPr>
        <w:snapToGrid w:val="0"/>
        <w:spacing w:line="360" w:lineRule="auto"/>
        <w:textAlignment w:val="baseline"/>
        <w:rPr>
          <w:rFonts w:ascii="仿宋" w:hAnsi="仿宋" w:eastAsia="仿宋" w:cs="仿宋"/>
          <w:b/>
          <w:bCs/>
          <w:color w:val="000000"/>
          <w:sz w:val="24"/>
          <w:szCs w:val="24"/>
        </w:rPr>
      </w:pPr>
      <w:bookmarkStart w:id="7" w:name="_Toc29160"/>
      <w:r>
        <w:rPr>
          <w:rFonts w:hint="eastAsia" w:ascii="仿宋" w:hAnsi="仿宋" w:eastAsia="仿宋" w:cs="仿宋"/>
          <w:b/>
          <w:bCs/>
          <w:color w:val="000000"/>
          <w:sz w:val="24"/>
          <w:szCs w:val="24"/>
        </w:rPr>
        <w:t>三、磋商文件获取信息及要求</w:t>
      </w:r>
      <w:bookmarkEnd w:id="7"/>
    </w:p>
    <w:p>
      <w:pPr>
        <w:snapToGrid w:val="0"/>
        <w:spacing w:line="360" w:lineRule="auto"/>
        <w:ind w:firstLine="480" w:firstLineChars="200"/>
        <w:textAlignment w:val="baseline"/>
        <w:rPr>
          <w:rFonts w:ascii="仿宋" w:hAnsi="仿宋" w:eastAsia="仿宋" w:cs="仿宋"/>
          <w:bCs/>
          <w:sz w:val="24"/>
          <w:szCs w:val="24"/>
        </w:rPr>
      </w:pPr>
      <w:r>
        <w:rPr>
          <w:rFonts w:hint="eastAsia" w:ascii="仿宋" w:hAnsi="仿宋" w:eastAsia="仿宋" w:cs="仿宋"/>
          <w:bCs/>
          <w:sz w:val="24"/>
          <w:szCs w:val="24"/>
        </w:rPr>
        <w:t>1、</w:t>
      </w:r>
      <w:r>
        <w:rPr>
          <w:rFonts w:hint="eastAsia" w:ascii="仿宋" w:hAnsi="仿宋" w:eastAsia="仿宋" w:cs="仿宋"/>
          <w:sz w:val="24"/>
          <w:szCs w:val="24"/>
        </w:rPr>
        <w:t>磋商</w:t>
      </w:r>
      <w:r>
        <w:rPr>
          <w:rFonts w:hint="eastAsia" w:ascii="仿宋" w:hAnsi="仿宋" w:eastAsia="仿宋" w:cs="仿宋"/>
          <w:bCs/>
          <w:sz w:val="24"/>
          <w:szCs w:val="24"/>
        </w:rPr>
        <w:t>公告在</w:t>
      </w:r>
      <w:r>
        <w:rPr>
          <w:rFonts w:hint="eastAsia" w:ascii="仿宋" w:hAnsi="仿宋" w:eastAsia="仿宋" w:cs="仿宋"/>
          <w:bCs/>
          <w:color w:val="000000" w:themeColor="text1"/>
          <w:sz w:val="24"/>
          <w:szCs w:val="24"/>
          <w14:textFill>
            <w14:solidFill>
              <w14:schemeClr w14:val="tx1"/>
            </w14:solidFill>
          </w14:textFill>
        </w:rPr>
        <w:t>“江苏省招标投标公共服务平台”（http://jszbtb.com/#/newindex）</w:t>
      </w:r>
      <w:r>
        <w:rPr>
          <w:rFonts w:hint="eastAsia" w:ascii="仿宋" w:hAnsi="仿宋" w:eastAsia="仿宋" w:cs="仿宋"/>
          <w:sz w:val="24"/>
          <w:szCs w:val="24"/>
        </w:rPr>
        <w:t>发布，</w:t>
      </w:r>
      <w:r>
        <w:rPr>
          <w:rFonts w:hint="eastAsia" w:ascii="仿宋" w:hAnsi="仿宋" w:eastAsia="仿宋" w:cs="仿宋"/>
          <w:bCs/>
          <w:sz w:val="24"/>
          <w:szCs w:val="24"/>
        </w:rPr>
        <w:t>供应商如确定参加磋商，须获取磋商文件。</w:t>
      </w:r>
    </w:p>
    <w:p>
      <w:pPr>
        <w:snapToGrid w:val="0"/>
        <w:spacing w:line="360" w:lineRule="auto"/>
        <w:ind w:firstLine="480" w:firstLineChars="200"/>
        <w:textAlignment w:val="baseline"/>
        <w:rPr>
          <w:rFonts w:ascii="仿宋" w:hAnsi="仿宋" w:eastAsia="仿宋" w:cs="仿宋"/>
          <w:color w:val="000000"/>
          <w:sz w:val="24"/>
          <w:szCs w:val="24"/>
        </w:rPr>
      </w:pPr>
      <w:r>
        <w:rPr>
          <w:rFonts w:hint="eastAsia" w:ascii="仿宋" w:hAnsi="仿宋" w:eastAsia="仿宋" w:cs="仿宋"/>
          <w:color w:val="000000"/>
          <w:sz w:val="24"/>
          <w:szCs w:val="24"/>
        </w:rPr>
        <w:t>获取磋商文件时间：</w:t>
      </w:r>
      <w:r>
        <w:rPr>
          <w:rFonts w:hint="eastAsia" w:ascii="仿宋" w:hAnsi="仿宋" w:eastAsia="仿宋" w:cs="仿宋"/>
          <w:color w:val="000000" w:themeColor="text1"/>
          <w:sz w:val="24"/>
          <w:szCs w:val="24"/>
          <w14:textFill>
            <w14:solidFill>
              <w14:schemeClr w14:val="tx1"/>
            </w14:solidFill>
          </w14:textFill>
        </w:rPr>
        <w:t>2023年</w:t>
      </w:r>
      <w:r>
        <w:rPr>
          <w:rFonts w:hint="eastAsia" w:ascii="仿宋" w:hAnsi="仿宋" w:eastAsia="仿宋" w:cs="仿宋"/>
          <w:color w:val="000000" w:themeColor="text1"/>
          <w:sz w:val="24"/>
          <w:szCs w:val="24"/>
          <w:lang w:val="en-US" w:eastAsia="zh-CN"/>
          <w14:textFill>
            <w14:solidFill>
              <w14:schemeClr w14:val="tx1"/>
            </w14:solidFill>
          </w14:textFill>
        </w:rPr>
        <w:t>12</w:t>
      </w:r>
      <w:r>
        <w:rPr>
          <w:rFonts w:hint="eastAsia" w:ascii="仿宋" w:hAnsi="仿宋" w:eastAsia="仿宋" w:cs="仿宋"/>
          <w:color w:val="000000" w:themeColor="text1"/>
          <w:sz w:val="24"/>
          <w:szCs w:val="24"/>
          <w14:textFill>
            <w14:solidFill>
              <w14:schemeClr w14:val="tx1"/>
            </w14:solidFill>
          </w14:textFill>
        </w:rPr>
        <w:t>月</w:t>
      </w:r>
      <w:r>
        <w:rPr>
          <w:rFonts w:hint="eastAsia" w:ascii="仿宋" w:hAnsi="仿宋" w:eastAsia="仿宋" w:cs="仿宋"/>
          <w:color w:val="000000" w:themeColor="text1"/>
          <w:sz w:val="24"/>
          <w:szCs w:val="24"/>
          <w:lang w:val="en-US" w:eastAsia="zh-CN"/>
          <w14:textFill>
            <w14:solidFill>
              <w14:schemeClr w14:val="tx1"/>
            </w14:solidFill>
          </w14:textFill>
        </w:rPr>
        <w:t>05</w:t>
      </w:r>
      <w:r>
        <w:rPr>
          <w:rFonts w:hint="eastAsia" w:ascii="仿宋" w:hAnsi="仿宋" w:eastAsia="仿宋" w:cs="仿宋"/>
          <w:color w:val="000000" w:themeColor="text1"/>
          <w:sz w:val="24"/>
          <w:szCs w:val="24"/>
          <w14:textFill>
            <w14:solidFill>
              <w14:schemeClr w14:val="tx1"/>
            </w14:solidFill>
          </w14:textFill>
        </w:rPr>
        <w:t>日起至 2023年</w:t>
      </w:r>
      <w:r>
        <w:rPr>
          <w:rFonts w:hint="eastAsia" w:ascii="仿宋" w:hAnsi="仿宋" w:eastAsia="仿宋" w:cs="仿宋"/>
          <w:color w:val="000000" w:themeColor="text1"/>
          <w:sz w:val="24"/>
          <w:szCs w:val="24"/>
          <w:lang w:val="en-US" w:eastAsia="zh-CN"/>
          <w14:textFill>
            <w14:solidFill>
              <w14:schemeClr w14:val="tx1"/>
            </w14:solidFill>
          </w14:textFill>
        </w:rPr>
        <w:t>12</w:t>
      </w:r>
      <w:r>
        <w:rPr>
          <w:rFonts w:hint="eastAsia" w:ascii="仿宋" w:hAnsi="仿宋" w:eastAsia="仿宋" w:cs="仿宋"/>
          <w:color w:val="000000" w:themeColor="text1"/>
          <w:sz w:val="24"/>
          <w:szCs w:val="24"/>
          <w14:textFill>
            <w14:solidFill>
              <w14:schemeClr w14:val="tx1"/>
            </w14:solidFill>
          </w14:textFill>
        </w:rPr>
        <w:t>月</w:t>
      </w:r>
      <w:r>
        <w:rPr>
          <w:rFonts w:hint="eastAsia" w:ascii="仿宋" w:hAnsi="仿宋" w:eastAsia="仿宋" w:cs="仿宋"/>
          <w:color w:val="000000" w:themeColor="text1"/>
          <w:sz w:val="24"/>
          <w:szCs w:val="24"/>
          <w:lang w:val="en-US" w:eastAsia="zh-CN"/>
          <w14:textFill>
            <w14:solidFill>
              <w14:schemeClr w14:val="tx1"/>
            </w14:solidFill>
          </w14:textFill>
        </w:rPr>
        <w:t>11</w:t>
      </w:r>
      <w:r>
        <w:rPr>
          <w:rFonts w:hint="eastAsia" w:ascii="仿宋" w:hAnsi="仿宋" w:eastAsia="仿宋" w:cs="仿宋"/>
          <w:color w:val="000000" w:themeColor="text1"/>
          <w:sz w:val="24"/>
          <w:szCs w:val="24"/>
          <w14:textFill>
            <w14:solidFill>
              <w14:schemeClr w14:val="tx1"/>
            </w14:solidFill>
          </w14:textFill>
        </w:rPr>
        <w:t>日每天（节假日除外）北京时间</w:t>
      </w:r>
      <w:r>
        <w:rPr>
          <w:rFonts w:hint="eastAsia" w:ascii="仿宋" w:hAnsi="仿宋" w:eastAsia="仿宋" w:cs="仿宋"/>
          <w:color w:val="000000"/>
          <w:sz w:val="24"/>
          <w:szCs w:val="24"/>
        </w:rPr>
        <w:t>09:30-12:00、13:30-17:30。</w:t>
      </w:r>
    </w:p>
    <w:p>
      <w:pPr>
        <w:snapToGrid w:val="0"/>
        <w:spacing w:line="360" w:lineRule="auto"/>
        <w:ind w:firstLine="480" w:firstLineChars="200"/>
        <w:textAlignment w:val="baseline"/>
        <w:rPr>
          <w:rFonts w:ascii="仿宋" w:hAnsi="仿宋" w:eastAsia="仿宋" w:cs="仿宋"/>
          <w:sz w:val="24"/>
          <w:szCs w:val="24"/>
        </w:rPr>
      </w:pPr>
      <w:r>
        <w:rPr>
          <w:rFonts w:hint="eastAsia" w:ascii="仿宋" w:hAnsi="仿宋" w:eastAsia="仿宋" w:cs="仿宋"/>
          <w:sz w:val="24"/>
          <w:szCs w:val="24"/>
        </w:rPr>
        <w:t>获取</w:t>
      </w:r>
      <w:r>
        <w:rPr>
          <w:rFonts w:hint="eastAsia" w:ascii="仿宋" w:hAnsi="仿宋" w:eastAsia="仿宋" w:cs="仿宋"/>
          <w:color w:val="000000"/>
          <w:sz w:val="24"/>
          <w:szCs w:val="24"/>
        </w:rPr>
        <w:t>磋商</w:t>
      </w:r>
      <w:r>
        <w:rPr>
          <w:rFonts w:hint="eastAsia" w:ascii="仿宋" w:hAnsi="仿宋" w:eastAsia="仿宋" w:cs="仿宋"/>
          <w:sz w:val="24"/>
          <w:szCs w:val="24"/>
        </w:rPr>
        <w:t>文件地点：南京秦淮区光华东街6号世界之窗创意产业园15号楼4楼 南京达琛鑫工程咨询有限公司，联系电话:025-52639995。</w:t>
      </w:r>
    </w:p>
    <w:p>
      <w:pPr>
        <w:snapToGrid w:val="0"/>
        <w:spacing w:line="360" w:lineRule="auto"/>
        <w:textAlignment w:val="baseline"/>
        <w:rPr>
          <w:rFonts w:ascii="仿宋" w:hAnsi="仿宋" w:eastAsia="仿宋" w:cs="仿宋"/>
          <w:bCs/>
          <w:sz w:val="24"/>
        </w:rPr>
      </w:pPr>
      <w:r>
        <w:rPr>
          <w:rFonts w:hint="eastAsia" w:ascii="仿宋" w:hAnsi="仿宋" w:eastAsia="仿宋" w:cs="仿宋"/>
          <w:color w:val="000000"/>
          <w:sz w:val="24"/>
          <w:szCs w:val="24"/>
        </w:rPr>
        <w:t xml:space="preserve">    </w:t>
      </w:r>
      <w:r>
        <w:rPr>
          <w:rFonts w:hint="eastAsia" w:ascii="仿宋" w:hAnsi="仿宋" w:eastAsia="仿宋" w:cs="仿宋"/>
          <w:sz w:val="24"/>
          <w:szCs w:val="24"/>
        </w:rPr>
        <w:t>2、本次磋商公告期限为三个工作日，请各位供应商领取本次磋商文件后，认真阅读各项内容，进行必要的准备，按照磋商文件的要求详细填写和编制响应文件，并按以上确定的时间、地点准时参加磋商活动。</w:t>
      </w:r>
      <w:r>
        <w:rPr>
          <w:rFonts w:hint="eastAsia" w:ascii="仿宋" w:hAnsi="仿宋" w:eastAsia="仿宋" w:cs="仿宋"/>
          <w:bCs/>
          <w:sz w:val="24"/>
        </w:rPr>
        <w:t>有关本次磋商的事项若存在变动或修改，敬请及时关注</w:t>
      </w:r>
      <w:r>
        <w:rPr>
          <w:rFonts w:hint="eastAsia" w:ascii="仿宋" w:hAnsi="仿宋" w:eastAsia="仿宋" w:cs="仿宋"/>
          <w:bCs/>
          <w:color w:val="000000" w:themeColor="text1"/>
          <w:sz w:val="24"/>
          <w:szCs w:val="24"/>
          <w14:textFill>
            <w14:solidFill>
              <w14:schemeClr w14:val="tx1"/>
            </w14:solidFill>
          </w14:textFill>
        </w:rPr>
        <w:t>“江苏省招标投标公共服务平台”（http://jszbtb.com/#/newindex）</w:t>
      </w:r>
      <w:r>
        <w:rPr>
          <w:rFonts w:hint="eastAsia" w:ascii="仿宋" w:hAnsi="仿宋" w:eastAsia="仿宋" w:cs="仿宋"/>
          <w:bCs/>
          <w:sz w:val="24"/>
        </w:rPr>
        <w:t>发布的信息更正公告。</w:t>
      </w:r>
    </w:p>
    <w:p>
      <w:pPr>
        <w:snapToGrid w:val="0"/>
        <w:spacing w:line="360" w:lineRule="auto"/>
        <w:ind w:firstLine="482" w:firstLineChars="200"/>
        <w:textAlignment w:val="baseline"/>
        <w:rPr>
          <w:rFonts w:ascii="仿宋" w:hAnsi="仿宋" w:eastAsia="仿宋" w:cs="仿宋"/>
          <w:b/>
          <w:sz w:val="24"/>
        </w:rPr>
      </w:pPr>
      <w:r>
        <w:rPr>
          <w:rFonts w:hint="eastAsia" w:ascii="仿宋" w:hAnsi="仿宋" w:eastAsia="仿宋" w:cs="仿宋"/>
          <w:b/>
          <w:sz w:val="24"/>
        </w:rPr>
        <w:t>对项目需求部分的询问、质疑由采购人负责答复。</w:t>
      </w:r>
    </w:p>
    <w:p>
      <w:pPr>
        <w:spacing w:line="360" w:lineRule="auto"/>
        <w:textAlignment w:val="baseline"/>
        <w:rPr>
          <w:rFonts w:ascii="仿宋" w:hAnsi="仿宋" w:eastAsia="仿宋" w:cs="仿宋"/>
          <w:sz w:val="24"/>
          <w:szCs w:val="24"/>
        </w:rPr>
      </w:pPr>
    </w:p>
    <w:p>
      <w:pPr>
        <w:snapToGrid w:val="0"/>
        <w:spacing w:line="360" w:lineRule="auto"/>
        <w:ind w:firstLine="480"/>
        <w:textAlignment w:val="baseline"/>
        <w:rPr>
          <w:rFonts w:ascii="仿宋" w:hAnsi="仿宋" w:eastAsia="仿宋" w:cs="仿宋"/>
          <w:sz w:val="24"/>
          <w:szCs w:val="24"/>
        </w:rPr>
      </w:pPr>
      <w:r>
        <w:rPr>
          <w:rFonts w:hint="eastAsia" w:ascii="仿宋" w:hAnsi="仿宋" w:eastAsia="仿宋" w:cs="仿宋"/>
          <w:sz w:val="24"/>
          <w:szCs w:val="24"/>
        </w:rPr>
        <w:br w:type="page"/>
      </w:r>
    </w:p>
    <w:p>
      <w:pPr>
        <w:pStyle w:val="42"/>
        <w:spacing w:after="312" w:line="360" w:lineRule="auto"/>
        <w:textAlignment w:val="baseline"/>
        <w:rPr>
          <w:rFonts w:ascii="仿宋" w:hAnsi="仿宋" w:eastAsia="仿宋" w:cs="仿宋"/>
          <w:color w:val="000000"/>
          <w:sz w:val="40"/>
        </w:rPr>
      </w:pPr>
      <w:bookmarkStart w:id="8" w:name="_Toc12652"/>
      <w:bookmarkStart w:id="9" w:name="_Toc30554"/>
      <w:r>
        <w:rPr>
          <w:rFonts w:hint="eastAsia" w:ascii="仿宋" w:hAnsi="仿宋" w:eastAsia="仿宋" w:cs="仿宋"/>
          <w:color w:val="000000"/>
          <w:sz w:val="40"/>
        </w:rPr>
        <w:t>第二章  磋商须知</w:t>
      </w:r>
      <w:bookmarkEnd w:id="2"/>
      <w:bookmarkEnd w:id="3"/>
      <w:bookmarkEnd w:id="4"/>
      <w:bookmarkEnd w:id="5"/>
      <w:bookmarkEnd w:id="6"/>
      <w:bookmarkEnd w:id="8"/>
      <w:bookmarkEnd w:id="9"/>
    </w:p>
    <w:p>
      <w:pPr>
        <w:pStyle w:val="41"/>
        <w:spacing w:before="0" w:after="0"/>
        <w:jc w:val="center"/>
        <w:textAlignment w:val="baseline"/>
        <w:rPr>
          <w:rFonts w:ascii="仿宋" w:hAnsi="仿宋" w:eastAsia="仿宋" w:cs="仿宋"/>
        </w:rPr>
      </w:pPr>
      <w:bookmarkStart w:id="10" w:name="_Toc7248"/>
      <w:bookmarkStart w:id="11" w:name="_Toc15873"/>
      <w:r>
        <w:rPr>
          <w:rFonts w:hint="eastAsia" w:ascii="仿宋" w:hAnsi="仿宋" w:eastAsia="仿宋" w:cs="仿宋"/>
        </w:rPr>
        <w:t>（参加竞争性磋商的供应商以下简称“供应商”）</w:t>
      </w:r>
      <w:bookmarkEnd w:id="10"/>
      <w:bookmarkEnd w:id="11"/>
    </w:p>
    <w:p>
      <w:pPr>
        <w:spacing w:line="360" w:lineRule="auto"/>
        <w:ind w:firstLine="480" w:firstLineChars="200"/>
        <w:jc w:val="center"/>
        <w:textAlignment w:val="baseline"/>
        <w:rPr>
          <w:rFonts w:ascii="仿宋" w:hAnsi="仿宋" w:eastAsia="仿宋" w:cs="仿宋"/>
          <w:sz w:val="24"/>
          <w:szCs w:val="24"/>
        </w:rPr>
      </w:pPr>
    </w:p>
    <w:p>
      <w:pPr>
        <w:pStyle w:val="45"/>
        <w:numPr>
          <w:ilvl w:val="255"/>
          <w:numId w:val="0"/>
        </w:numPr>
        <w:spacing w:line="360" w:lineRule="auto"/>
        <w:jc w:val="both"/>
        <w:textAlignment w:val="baseline"/>
        <w:rPr>
          <w:rFonts w:ascii="仿宋" w:hAnsi="仿宋" w:eastAsia="仿宋" w:cs="仿宋"/>
        </w:rPr>
      </w:pPr>
      <w:bookmarkStart w:id="12" w:name="_Toc3426"/>
      <w:bookmarkStart w:id="13" w:name="_Toc28890"/>
      <w:r>
        <w:rPr>
          <w:rFonts w:hint="eastAsia" w:ascii="仿宋" w:hAnsi="仿宋" w:eastAsia="仿宋" w:cs="仿宋"/>
        </w:rPr>
        <w:t>一、总则</w:t>
      </w:r>
      <w:bookmarkEnd w:id="12"/>
      <w:bookmarkEnd w:id="13"/>
    </w:p>
    <w:p>
      <w:pPr>
        <w:snapToGrid w:val="0"/>
        <w:spacing w:line="360" w:lineRule="auto"/>
        <w:ind w:firstLine="482" w:firstLineChars="200"/>
        <w:textAlignment w:val="baseline"/>
        <w:rPr>
          <w:rFonts w:ascii="仿宋" w:hAnsi="仿宋" w:eastAsia="仿宋" w:cs="仿宋"/>
          <w:b/>
          <w:sz w:val="24"/>
        </w:rPr>
      </w:pPr>
      <w:r>
        <w:rPr>
          <w:rFonts w:hint="eastAsia" w:ascii="仿宋" w:hAnsi="仿宋" w:eastAsia="仿宋" w:cs="仿宋"/>
          <w:b/>
          <w:sz w:val="24"/>
        </w:rPr>
        <w:t>1、适用范围</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1.1 本竞争性磋商文件（以下简称磋商文件）仅适用江苏法院人事管理系统运维服务。</w:t>
      </w:r>
    </w:p>
    <w:p>
      <w:pPr>
        <w:snapToGrid w:val="0"/>
        <w:spacing w:line="360" w:lineRule="auto"/>
        <w:ind w:firstLine="482" w:firstLineChars="200"/>
        <w:textAlignment w:val="baseline"/>
        <w:rPr>
          <w:rFonts w:ascii="仿宋" w:hAnsi="仿宋" w:eastAsia="仿宋" w:cs="仿宋"/>
          <w:b/>
          <w:sz w:val="24"/>
        </w:rPr>
      </w:pPr>
      <w:r>
        <w:rPr>
          <w:rFonts w:hint="eastAsia" w:ascii="仿宋" w:hAnsi="仿宋" w:eastAsia="仿宋" w:cs="仿宋"/>
          <w:b/>
          <w:sz w:val="24"/>
        </w:rPr>
        <w:t>2、项目采购方式</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本次采购采取竞争性磋商的方式。</w:t>
      </w:r>
    </w:p>
    <w:p>
      <w:pPr>
        <w:snapToGrid w:val="0"/>
        <w:spacing w:line="360" w:lineRule="auto"/>
        <w:ind w:firstLine="482" w:firstLineChars="200"/>
        <w:textAlignment w:val="baseline"/>
        <w:rPr>
          <w:rFonts w:ascii="仿宋" w:hAnsi="仿宋" w:eastAsia="仿宋" w:cs="仿宋"/>
          <w:b/>
          <w:sz w:val="24"/>
        </w:rPr>
      </w:pPr>
      <w:r>
        <w:rPr>
          <w:rFonts w:hint="eastAsia" w:ascii="仿宋" w:hAnsi="仿宋" w:eastAsia="仿宋" w:cs="仿宋"/>
          <w:b/>
          <w:sz w:val="24"/>
        </w:rPr>
        <w:t>3、合格的供应商</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3.1满足本磋商文件“采购邀请”中合格供应商资格要求的规定。</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3.2 满足本磋商文件实质性要求和条件的规定。</w:t>
      </w:r>
    </w:p>
    <w:p>
      <w:pPr>
        <w:snapToGrid w:val="0"/>
        <w:spacing w:line="360" w:lineRule="auto"/>
        <w:ind w:firstLine="482" w:firstLineChars="200"/>
        <w:textAlignment w:val="baseline"/>
        <w:rPr>
          <w:rFonts w:ascii="仿宋" w:hAnsi="仿宋" w:eastAsia="仿宋" w:cs="仿宋"/>
          <w:b/>
          <w:sz w:val="24"/>
        </w:rPr>
      </w:pPr>
      <w:r>
        <w:rPr>
          <w:rFonts w:hint="eastAsia" w:ascii="仿宋" w:hAnsi="仿宋" w:eastAsia="仿宋" w:cs="仿宋"/>
          <w:b/>
          <w:sz w:val="24"/>
        </w:rPr>
        <w:t>4、参加磋商费用</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4.1 供应商应自行承担所有与参加</w:t>
      </w:r>
      <w:r>
        <w:rPr>
          <w:rFonts w:hint="eastAsia" w:ascii="仿宋" w:hAnsi="仿宋" w:eastAsia="仿宋" w:cs="仿宋"/>
          <w:sz w:val="24"/>
          <w:szCs w:val="24"/>
        </w:rPr>
        <w:t>竞争性磋商</w:t>
      </w:r>
      <w:r>
        <w:rPr>
          <w:rFonts w:hint="eastAsia" w:ascii="仿宋" w:hAnsi="仿宋" w:eastAsia="仿宋" w:cs="仿宋"/>
          <w:bCs/>
          <w:sz w:val="24"/>
        </w:rPr>
        <w:t>有关的费用，无论磋商过程中的做法和结果如何，南京达琛鑫工程咨询有限公司（以下简称采购代理机构）在任何情况下均无义务和责任承担这些费用。</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4.2本次</w:t>
      </w:r>
      <w:r>
        <w:rPr>
          <w:rFonts w:hint="eastAsia" w:ascii="仿宋" w:hAnsi="仿宋" w:eastAsia="仿宋" w:cs="仿宋"/>
          <w:sz w:val="24"/>
          <w:szCs w:val="24"/>
        </w:rPr>
        <w:t>磋商</w:t>
      </w:r>
      <w:r>
        <w:rPr>
          <w:rFonts w:hint="eastAsia" w:ascii="仿宋" w:hAnsi="仿宋" w:eastAsia="仿宋" w:cs="仿宋"/>
          <w:bCs/>
          <w:sz w:val="24"/>
        </w:rPr>
        <w:t>收取磋商文件费。</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4.3代理服务费：本次采购代理服务费的收取按照苏招协（[2022]002号）《江苏省招标代理服务收费的指导意见》规定的费率按成交金额*1.5%的费率直接计算（最低收费基数3500元），</w:t>
      </w:r>
      <w:r>
        <w:rPr>
          <w:rFonts w:hint="eastAsia" w:ascii="仿宋" w:hAnsi="仿宋" w:eastAsia="仿宋" w:cs="仿宋"/>
          <w:bCs/>
          <w:sz w:val="24"/>
          <w:lang w:val="en-US" w:eastAsia="zh-CN"/>
        </w:rPr>
        <w:t>另计专家评审费2500元整，</w:t>
      </w:r>
      <w:r>
        <w:rPr>
          <w:rFonts w:hint="eastAsia" w:ascii="仿宋" w:hAnsi="仿宋" w:eastAsia="仿宋" w:cs="仿宋"/>
          <w:bCs/>
          <w:sz w:val="24"/>
        </w:rPr>
        <w:t>由成交供应商领取《成交通知书》时向采购代理机构缴纳。根据财库〔2018〕2号《政府招标代理机构管理暂行办法》第十五条之规定，凭《成交通知书》与采购人签订合同。</w:t>
      </w:r>
    </w:p>
    <w:p>
      <w:pPr>
        <w:snapToGrid w:val="0"/>
        <w:spacing w:line="360" w:lineRule="auto"/>
        <w:ind w:firstLine="482" w:firstLineChars="200"/>
        <w:textAlignment w:val="baseline"/>
        <w:rPr>
          <w:rFonts w:ascii="仿宋" w:hAnsi="仿宋" w:eastAsia="仿宋" w:cs="仿宋"/>
          <w:b/>
          <w:sz w:val="24"/>
        </w:rPr>
      </w:pPr>
      <w:r>
        <w:rPr>
          <w:rFonts w:hint="eastAsia" w:ascii="仿宋" w:hAnsi="仿宋" w:eastAsia="仿宋" w:cs="仿宋"/>
          <w:b/>
          <w:sz w:val="24"/>
        </w:rPr>
        <w:t>5、磋商文件的约束力</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供应商一旦购买了本磋商文件并决定参加磋商，即被认为接受了本磋商文件的规定和约束，并且视为自竞争性磋商公告期限届满之日起已经知道或应当知道自身权益是否受到了损害。</w:t>
      </w:r>
    </w:p>
    <w:p>
      <w:pPr>
        <w:snapToGrid w:val="0"/>
        <w:spacing w:line="360" w:lineRule="auto"/>
        <w:ind w:firstLine="482" w:firstLineChars="200"/>
        <w:textAlignment w:val="baseline"/>
        <w:rPr>
          <w:rFonts w:ascii="仿宋" w:hAnsi="仿宋" w:eastAsia="仿宋" w:cs="仿宋"/>
          <w:b/>
          <w:sz w:val="24"/>
        </w:rPr>
      </w:pPr>
      <w:bookmarkStart w:id="14" w:name="_Toc14577351"/>
      <w:bookmarkStart w:id="15" w:name="_Toc61149553"/>
      <w:bookmarkStart w:id="16" w:name="_Toc513029213"/>
      <w:bookmarkStart w:id="17" w:name="_Toc462564072"/>
      <w:bookmarkStart w:id="18" w:name="_Toc443"/>
      <w:bookmarkStart w:id="19" w:name="_Toc31687"/>
      <w:bookmarkStart w:id="20" w:name="_Toc27104"/>
      <w:r>
        <w:rPr>
          <w:rFonts w:hint="eastAsia" w:ascii="仿宋" w:hAnsi="仿宋" w:eastAsia="仿宋" w:cs="仿宋"/>
          <w:b/>
          <w:sz w:val="24"/>
        </w:rPr>
        <w:t>6、</w:t>
      </w:r>
      <w:bookmarkStart w:id="21" w:name="_Toc16938527"/>
      <w:bookmarkStart w:id="22" w:name="_Toc513029211"/>
      <w:bookmarkStart w:id="23" w:name="_Toc20823283"/>
      <w:bookmarkStart w:id="24" w:name="_Toc462564070"/>
      <w:r>
        <w:rPr>
          <w:rFonts w:hint="eastAsia" w:ascii="仿宋" w:hAnsi="仿宋" w:eastAsia="仿宋" w:cs="仿宋"/>
          <w:b/>
          <w:sz w:val="24"/>
        </w:rPr>
        <w:t>磋商文件的澄清</w:t>
      </w:r>
      <w:bookmarkEnd w:id="21"/>
      <w:bookmarkEnd w:id="22"/>
      <w:bookmarkEnd w:id="23"/>
      <w:bookmarkEnd w:id="24"/>
      <w:r>
        <w:rPr>
          <w:rFonts w:hint="eastAsia" w:ascii="仿宋" w:hAnsi="仿宋" w:eastAsia="仿宋" w:cs="仿宋"/>
          <w:b/>
          <w:sz w:val="24"/>
        </w:rPr>
        <w:t>及修改</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6.1任何要求对磋商文件进行澄清的供应商，均应在提交首次响应文件截止时间5日前按采购邀请中的通讯地址，以书面形式通知采购代理机构。提交首次响应文件截止之日前，采购代理机构可以对已发出的磋商文件进行必要的澄清或者修改，澄清或者修改的内容作为磋商文件的组成部分。澄清或者修改的内容可能影响响应文件编制的，采购代理机构将在提交首次响应文件截止时间至少5日前，在</w:t>
      </w:r>
      <w:r>
        <w:rPr>
          <w:rFonts w:hint="eastAsia" w:ascii="仿宋" w:hAnsi="仿宋" w:eastAsia="仿宋" w:cs="仿宋"/>
          <w:bCs/>
          <w:color w:val="000000" w:themeColor="text1"/>
          <w:sz w:val="24"/>
          <w:szCs w:val="24"/>
          <w14:textFill>
            <w14:solidFill>
              <w14:schemeClr w14:val="tx1"/>
            </w14:solidFill>
          </w14:textFill>
        </w:rPr>
        <w:t>“江苏省招标投标公共服务平台”（http://jszbtb.com/#/newindex）</w:t>
      </w:r>
      <w:r>
        <w:rPr>
          <w:rFonts w:hint="eastAsia" w:ascii="仿宋" w:hAnsi="仿宋" w:eastAsia="仿宋" w:cs="仿宋"/>
          <w:bCs/>
          <w:sz w:val="24"/>
        </w:rPr>
        <w:t>上发布书面更正公告形式通知所有获取磋商文件的供应商。不足5日的，采购代理机构应当顺延提交首次响应文件截止时间。</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6.2采购代理机构可以视采购项目的具体情况，组织供应商进行现场考察或召开磋商前答疑会，但不单独或分别组织只有一个供应商参加的现场考察和答疑会。</w:t>
      </w:r>
    </w:p>
    <w:p>
      <w:pPr>
        <w:snapToGrid w:val="0"/>
        <w:spacing w:line="360" w:lineRule="auto"/>
        <w:ind w:firstLine="482" w:firstLineChars="200"/>
        <w:textAlignment w:val="baseline"/>
        <w:rPr>
          <w:rFonts w:ascii="仿宋" w:hAnsi="仿宋" w:eastAsia="仿宋" w:cs="仿宋"/>
          <w:b/>
          <w:sz w:val="24"/>
        </w:rPr>
      </w:pPr>
      <w:r>
        <w:rPr>
          <w:rFonts w:hint="eastAsia" w:ascii="仿宋" w:hAnsi="仿宋" w:eastAsia="仿宋" w:cs="仿宋"/>
          <w:b/>
          <w:sz w:val="24"/>
        </w:rPr>
        <w:t>7、政策功能</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7.1中小企业政策</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1）中小企业（含中型、小型、微型企业）应当符合《政府采购促进中小企业发展管理办法》（财库〔2020〕46号,以下简称46号文）第二条、《关于政府采购支持监狱企业发展有关问题的通知》（财库〔2014〕68号）第一条或《关于促进残疾人就业政府采购政策的通知》（财库〔2017〕141号）第一条的规定。本项目对残疾人福利性单位、监狱和戒毒企业（简称监狱企业）视同小型、微型企业。残疾人福利单位、监狱企业属于小型、微型企业的，不重复享受政策。</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（2）中小企业依据46号文规定的政策获取政府采购合同后，小型、微型企业不得分包或转包给大型、中型企业，中型企业不得分包或转包给大型企业。</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（3）政府采购监督检查、投诉处理及政府采购行政处罚中对中小企业的认定，由货物制造商或者工程、服务供应商注册登记所在地的县级以上人民政府中小企业主管部门负责。</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7.2节能产品政策</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1）根据《财政部、发展改革委、生态环境部、市场监管总局关于调整优化节能产品、环境标志产品政府采购执行机制的通知》（财库〔2019〕9号）和《财政部、发展改革委关于印发节能产品政府采购品目清单的通知》（财库〔2019〕19号）， 拟采购的产品属于节能产品品目清单范围内的，在技术、服务等指标同等条件下，采购人及其委托的采购代理机构将依据国家确定的认证机构出具的、处于有效期之内的节能产品认证证书，对获得证书的产品实施政府优先采购或强制采购。</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（2）参加政府采购活动的节能产品供应商应当提供国家确定的认证机构出具的、处于有效期之内的节能产品产品认证证书。</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7.3环境标志产品政策</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1）根据《财政部、发展改革委、生态环境部、市场监管总局关于调整优化节能产品、环境标志产品政府采购执行机制的通知》（财库〔2019〕9号）和《财政部、生态环境部关于印发环境标志产品政府采购品目清单的通知》（财库〔2019〕18号）， 拟采购的产品属于环境标志产品品目清单范围内的，在技术、服务等指标同等条件下，采购人及其委托的采购代理机构将依据国家确定的认证机构出具的、处于有效期之内的环境标志产品认证证书，对获得证书的产品实施政府优先采购或强制采购。</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（2）参加政府采购活动的环境标志产品供应商应当提供国家确定的认证机构出具的、处于有效期之内的环境标志产品认证证书。</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7.4进口产品政策</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（1）除磋商公告载明接受进口产品参加外，不允许进口产品参加。进口产品认定依照《财政部关于政府采购进口产品管理有关问题的通知》（财办库〔2008〕248号）的规定。</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（2）允许进口产品参加的，满足需求的国内产品可以参加。</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（3）允许进口产品参加的，优先采购向我国企业转让技术、与我国企业签订消化吸收再创新方案的供应商的进口产品。</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7.5未按要求提供相关材料的，不享受相关政策。</w:t>
      </w:r>
    </w:p>
    <w:p>
      <w:pPr>
        <w:pStyle w:val="45"/>
        <w:numPr>
          <w:ilvl w:val="255"/>
          <w:numId w:val="0"/>
        </w:numPr>
        <w:spacing w:line="360" w:lineRule="auto"/>
        <w:jc w:val="both"/>
        <w:textAlignment w:val="baseline"/>
        <w:rPr>
          <w:rFonts w:ascii="仿宋" w:hAnsi="仿宋" w:eastAsia="仿宋" w:cs="仿宋"/>
        </w:rPr>
      </w:pPr>
      <w:r>
        <w:rPr>
          <w:rFonts w:hint="eastAsia" w:ascii="仿宋" w:hAnsi="仿宋" w:eastAsia="仿宋" w:cs="仿宋"/>
        </w:rPr>
        <w:t>二、磋商响应文件的编制</w:t>
      </w:r>
      <w:bookmarkEnd w:id="14"/>
      <w:bookmarkEnd w:id="15"/>
      <w:bookmarkEnd w:id="16"/>
      <w:bookmarkEnd w:id="17"/>
      <w:r>
        <w:rPr>
          <w:rFonts w:hint="eastAsia" w:ascii="仿宋" w:hAnsi="仿宋" w:eastAsia="仿宋" w:cs="仿宋"/>
        </w:rPr>
        <w:t>及保证金收取</w:t>
      </w:r>
      <w:bookmarkEnd w:id="18"/>
      <w:bookmarkEnd w:id="19"/>
      <w:bookmarkEnd w:id="20"/>
    </w:p>
    <w:p>
      <w:pPr>
        <w:snapToGrid w:val="0"/>
        <w:spacing w:line="360" w:lineRule="auto"/>
        <w:ind w:firstLine="482" w:firstLineChars="200"/>
        <w:textAlignment w:val="baseline"/>
        <w:rPr>
          <w:rFonts w:ascii="仿宋" w:hAnsi="仿宋" w:eastAsia="仿宋" w:cs="仿宋"/>
          <w:b/>
          <w:sz w:val="24"/>
        </w:rPr>
      </w:pPr>
      <w:bookmarkStart w:id="25" w:name="_Toc513029223"/>
      <w:bookmarkStart w:id="26" w:name="_Toc61149561"/>
      <w:bookmarkStart w:id="27" w:name="_Toc14577361"/>
      <w:r>
        <w:rPr>
          <w:rFonts w:hint="eastAsia" w:ascii="仿宋" w:hAnsi="仿宋" w:eastAsia="仿宋" w:cs="仿宋"/>
          <w:b/>
          <w:sz w:val="24"/>
        </w:rPr>
        <w:t>1、磋商响应文件份数和签署</w:t>
      </w:r>
      <w:bookmarkEnd w:id="25"/>
      <w:bookmarkEnd w:id="26"/>
      <w:bookmarkEnd w:id="27"/>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1.1供应商应严格按照采购邀请要求准备磋商响应文件（以下简称响应文件），每份响应文件须清楚地标明“正本”或“副本”字样。</w:t>
      </w:r>
    </w:p>
    <w:p>
      <w:pPr>
        <w:snapToGrid w:val="0"/>
        <w:spacing w:line="360" w:lineRule="auto"/>
        <w:ind w:firstLine="482" w:firstLineChars="200"/>
        <w:textAlignment w:val="baseline"/>
        <w:rPr>
          <w:rFonts w:ascii="仿宋" w:hAnsi="仿宋" w:eastAsia="仿宋" w:cs="仿宋"/>
          <w:b/>
          <w:sz w:val="24"/>
          <w:u w:val="single"/>
        </w:rPr>
      </w:pPr>
      <w:r>
        <w:rPr>
          <w:rFonts w:hint="eastAsia" w:ascii="仿宋" w:hAnsi="仿宋" w:eastAsia="仿宋" w:cs="仿宋"/>
          <w:b/>
          <w:sz w:val="24"/>
          <w:u w:val="single" w:color="000000"/>
        </w:rPr>
        <w:t>响应文件的正本和所有的副本应当打印或复印或用不褪色墨水书写并装订成册。</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响应文件正本中，除磋商文件规定的可提交复印件外，其他文件均须提交原件，文字材料需打印或用不褪色墨水书写，响应文件正本须经法定代表人或授权代表签字和加盖供应商公章。本磋商文件所表述（指定）的公章是指刻有供应商法定名称的印章，不包括合同、财务、税务、发票等形式的业务专用章。</w:t>
      </w:r>
    </w:p>
    <w:p>
      <w:pPr>
        <w:snapToGrid w:val="0"/>
        <w:spacing w:line="360" w:lineRule="auto"/>
        <w:ind w:firstLine="480" w:firstLineChars="200"/>
        <w:textAlignment w:val="baseline"/>
        <w:rPr>
          <w:rFonts w:ascii="仿宋" w:hAnsi="仿宋" w:eastAsia="仿宋" w:cs="仿宋"/>
          <w:sz w:val="20"/>
        </w:rPr>
      </w:pPr>
      <w:r>
        <w:rPr>
          <w:rFonts w:hint="eastAsia" w:ascii="仿宋" w:hAnsi="仿宋" w:eastAsia="仿宋" w:cs="仿宋"/>
          <w:bCs/>
          <w:sz w:val="24"/>
        </w:rPr>
        <w:t>1.2 除供应商对错处做必要修改外，响应文件不得行间插字、涂改或增删。如有修改错漏处，必须由响应文件签署人签字或盖章。</w:t>
      </w:r>
    </w:p>
    <w:p>
      <w:pPr>
        <w:snapToGrid w:val="0"/>
        <w:spacing w:line="360" w:lineRule="auto"/>
        <w:ind w:firstLine="482" w:firstLineChars="200"/>
        <w:textAlignment w:val="baseline"/>
        <w:rPr>
          <w:rFonts w:ascii="仿宋" w:hAnsi="仿宋" w:eastAsia="仿宋" w:cs="仿宋"/>
          <w:bCs/>
          <w:sz w:val="24"/>
        </w:rPr>
      </w:pPr>
      <w:r>
        <w:rPr>
          <w:rFonts w:hint="eastAsia" w:ascii="仿宋" w:hAnsi="仿宋" w:eastAsia="仿宋" w:cs="仿宋"/>
          <w:b/>
          <w:sz w:val="24"/>
        </w:rPr>
        <w:t>2、响应文件编制要求</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2.1供应商提交的响应文件以及供应商与采购代理机构及采购人就有关磋商的所有来往函电均应使用简体中文。磋商文件中既有中文也有外文的，以中文意译为准。</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2.2 除技术性能另有规定外，响应文件所使用的度量衡单位，均须采用国家法定计量单位。</w:t>
      </w:r>
    </w:p>
    <w:p>
      <w:pPr>
        <w:spacing w:line="360" w:lineRule="auto"/>
        <w:ind w:firstLine="480" w:firstLineChars="200"/>
        <w:jc w:val="left"/>
        <w:textAlignment w:val="baseline"/>
        <w:rPr>
          <w:rFonts w:ascii="仿宋" w:hAnsi="仿宋" w:eastAsia="仿宋" w:cs="仿宋"/>
          <w:sz w:val="24"/>
          <w:szCs w:val="24"/>
        </w:rPr>
      </w:pPr>
      <w:r>
        <w:rPr>
          <w:rFonts w:hint="eastAsia" w:ascii="仿宋" w:hAnsi="仿宋" w:eastAsia="仿宋" w:cs="仿宋"/>
          <w:sz w:val="24"/>
          <w:szCs w:val="24"/>
        </w:rPr>
        <w:t>2.3 响应文件由商务部分、技术部分、价格部分，以及其他部分组成。供应商编写的响应文件应包括资信证明文件、采购配置与报价明细表、技术参数响应及偏离表、商务条款响应及偏离表、技术及售后服务承诺书、磋商函、报价一览表等部分；供应商应当根据磋商文件要求编制响应文件，响应文件应对磋商文件提出的要求和条件作出实质性响应，并在《商务要求响应表》和《服务要求响应表》等处逐条标明满足与否。</w:t>
      </w:r>
    </w:p>
    <w:p>
      <w:pPr>
        <w:spacing w:line="360" w:lineRule="auto"/>
        <w:ind w:firstLine="482" w:firstLineChars="200"/>
        <w:jc w:val="left"/>
        <w:textAlignment w:val="baseline"/>
        <w:rPr>
          <w:rFonts w:ascii="仿宋" w:hAnsi="仿宋" w:eastAsia="仿宋" w:cs="仿宋"/>
          <w:b/>
          <w:bCs/>
          <w:sz w:val="24"/>
          <w:szCs w:val="24"/>
        </w:rPr>
      </w:pPr>
      <w:r>
        <w:rPr>
          <w:rFonts w:hint="eastAsia" w:ascii="仿宋" w:hAnsi="仿宋" w:eastAsia="仿宋" w:cs="仿宋"/>
          <w:b/>
          <w:bCs/>
          <w:i/>
          <w:iCs/>
          <w:sz w:val="24"/>
          <w:szCs w:val="24"/>
          <w:u w:val="single" w:color="000000"/>
        </w:rPr>
        <w:t>对带星号（“★”）的技术条款必须在磋商文件中提供技术支持资料（如白皮书、彩页、手册、检测报告等），未提供技术支持资料的，评审时做负偏离处理。带星号（“★”）的商务条款作为实质性要求，必须满足否则作无效投标处理。</w:t>
      </w:r>
    </w:p>
    <w:p>
      <w:pPr>
        <w:spacing w:line="360" w:lineRule="auto"/>
        <w:ind w:firstLine="482" w:firstLineChars="200"/>
        <w:jc w:val="left"/>
        <w:textAlignment w:val="baseline"/>
        <w:rPr>
          <w:rFonts w:ascii="仿宋" w:hAnsi="仿宋" w:eastAsia="仿宋" w:cs="仿宋"/>
          <w:b/>
          <w:bCs/>
          <w:sz w:val="24"/>
          <w:szCs w:val="24"/>
        </w:rPr>
      </w:pPr>
      <w:r>
        <w:rPr>
          <w:rFonts w:hint="eastAsia" w:ascii="仿宋" w:hAnsi="仿宋" w:eastAsia="仿宋" w:cs="仿宋"/>
          <w:b/>
          <w:bCs/>
          <w:sz w:val="24"/>
          <w:szCs w:val="24"/>
        </w:rPr>
        <w:t>注：响应文件的商务部分</w:t>
      </w:r>
    </w:p>
    <w:p>
      <w:pPr>
        <w:spacing w:line="360" w:lineRule="auto"/>
        <w:ind w:firstLine="480" w:firstLineChars="200"/>
        <w:jc w:val="left"/>
        <w:textAlignment w:val="baseline"/>
        <w:rPr>
          <w:rFonts w:ascii="仿宋" w:hAnsi="仿宋" w:eastAsia="仿宋" w:cs="仿宋"/>
          <w:b/>
          <w:bCs/>
          <w:sz w:val="24"/>
          <w:szCs w:val="24"/>
        </w:rPr>
      </w:pPr>
      <w:r>
        <w:rPr>
          <w:rFonts w:hint="eastAsia" w:ascii="仿宋" w:hAnsi="仿宋" w:eastAsia="仿宋" w:cs="仿宋"/>
          <w:sz w:val="24"/>
          <w:szCs w:val="24"/>
        </w:rPr>
        <w:t>商务部分是证明供应商有资格参加磋商和成交后有能力履行合同的文件，这些文件应能满足磋商的要求，包括但不限于下列文件，</w:t>
      </w:r>
      <w:r>
        <w:rPr>
          <w:rFonts w:hint="eastAsia" w:ascii="仿宋" w:hAnsi="仿宋" w:eastAsia="仿宋" w:cs="仿宋"/>
          <w:b/>
          <w:bCs/>
          <w:sz w:val="24"/>
          <w:szCs w:val="24"/>
        </w:rPr>
        <w:t>其中加※项目不得有缺失或无效。</w:t>
      </w:r>
    </w:p>
    <w:p>
      <w:pPr>
        <w:spacing w:line="360" w:lineRule="auto"/>
        <w:ind w:firstLine="480" w:firstLineChars="200"/>
        <w:jc w:val="left"/>
        <w:textAlignment w:val="baseline"/>
        <w:rPr>
          <w:rFonts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b/>
          <w:bCs/>
          <w:sz w:val="24"/>
          <w:szCs w:val="24"/>
        </w:rPr>
        <w:t xml:space="preserve">※ </w:t>
      </w:r>
      <w:r>
        <w:rPr>
          <w:rFonts w:hint="eastAsia" w:ascii="仿宋" w:hAnsi="仿宋" w:eastAsia="仿宋" w:cs="仿宋"/>
          <w:sz w:val="24"/>
          <w:szCs w:val="24"/>
        </w:rPr>
        <w:t>磋商函（磋商申请及声明）；</w:t>
      </w:r>
    </w:p>
    <w:p>
      <w:pPr>
        <w:spacing w:line="360" w:lineRule="auto"/>
        <w:ind w:firstLine="480" w:firstLineChars="200"/>
        <w:jc w:val="left"/>
        <w:textAlignment w:val="baseline"/>
        <w:rPr>
          <w:rFonts w:ascii="仿宋" w:hAnsi="仿宋" w:eastAsia="仿宋" w:cs="仿宋"/>
          <w:sz w:val="24"/>
          <w:szCs w:val="24"/>
        </w:rPr>
      </w:pPr>
      <w:r>
        <w:rPr>
          <w:rFonts w:hint="eastAsia" w:ascii="仿宋" w:hAnsi="仿宋" w:eastAsia="仿宋" w:cs="仿宋"/>
          <w:sz w:val="24"/>
          <w:szCs w:val="24"/>
        </w:rPr>
        <w:t>（2）</w:t>
      </w:r>
      <w:r>
        <w:rPr>
          <w:rFonts w:hint="eastAsia" w:ascii="仿宋" w:hAnsi="仿宋" w:eastAsia="仿宋" w:cs="仿宋"/>
          <w:b/>
          <w:bCs/>
          <w:sz w:val="24"/>
          <w:szCs w:val="24"/>
        </w:rPr>
        <w:t>※</w:t>
      </w:r>
      <w:r>
        <w:rPr>
          <w:rFonts w:hint="eastAsia" w:ascii="仿宋" w:hAnsi="仿宋" w:eastAsia="仿宋" w:cs="仿宋"/>
          <w:sz w:val="24"/>
          <w:szCs w:val="24"/>
        </w:rPr>
        <w:t xml:space="preserve"> 法定代表人授权委托书及委托代理人的身份证复印件；</w:t>
      </w:r>
    </w:p>
    <w:p>
      <w:pPr>
        <w:spacing w:line="360" w:lineRule="auto"/>
        <w:ind w:firstLine="480" w:firstLineChars="200"/>
        <w:jc w:val="left"/>
        <w:textAlignment w:val="baseline"/>
        <w:rPr>
          <w:rFonts w:ascii="仿宋" w:hAnsi="仿宋" w:eastAsia="仿宋" w:cs="仿宋"/>
          <w:sz w:val="24"/>
          <w:szCs w:val="24"/>
        </w:rPr>
      </w:pPr>
      <w:r>
        <w:rPr>
          <w:rFonts w:hint="eastAsia" w:ascii="仿宋" w:hAnsi="仿宋" w:eastAsia="仿宋" w:cs="仿宋"/>
          <w:sz w:val="24"/>
          <w:szCs w:val="24"/>
        </w:rPr>
        <w:t>（3）</w:t>
      </w:r>
      <w:r>
        <w:rPr>
          <w:rFonts w:hint="eastAsia" w:ascii="仿宋" w:hAnsi="仿宋" w:eastAsia="仿宋" w:cs="仿宋"/>
          <w:b/>
          <w:bCs/>
          <w:sz w:val="24"/>
          <w:szCs w:val="24"/>
        </w:rPr>
        <w:t>※</w:t>
      </w:r>
      <w:r>
        <w:rPr>
          <w:rFonts w:hint="eastAsia" w:ascii="仿宋" w:hAnsi="仿宋" w:eastAsia="仿宋" w:cs="仿宋"/>
          <w:sz w:val="24"/>
          <w:szCs w:val="24"/>
        </w:rPr>
        <w:t>报价一览表</w:t>
      </w:r>
    </w:p>
    <w:p>
      <w:pPr>
        <w:spacing w:line="360" w:lineRule="auto"/>
        <w:ind w:firstLine="480" w:firstLineChars="200"/>
        <w:jc w:val="left"/>
        <w:textAlignment w:val="baseline"/>
        <w:rPr>
          <w:rFonts w:ascii="仿宋" w:hAnsi="仿宋" w:eastAsia="仿宋" w:cs="仿宋"/>
          <w:sz w:val="24"/>
          <w:szCs w:val="24"/>
        </w:rPr>
      </w:pPr>
      <w:r>
        <w:rPr>
          <w:rFonts w:hint="eastAsia" w:ascii="仿宋" w:hAnsi="仿宋" w:eastAsia="仿宋" w:cs="仿宋"/>
          <w:sz w:val="24"/>
          <w:szCs w:val="24"/>
        </w:rPr>
        <w:t>（4）</w:t>
      </w:r>
      <w:r>
        <w:rPr>
          <w:rFonts w:hint="eastAsia" w:ascii="仿宋" w:hAnsi="仿宋" w:eastAsia="仿宋" w:cs="仿宋"/>
          <w:b/>
          <w:bCs/>
          <w:sz w:val="24"/>
          <w:szCs w:val="24"/>
        </w:rPr>
        <w:t>※</w:t>
      </w:r>
      <w:r>
        <w:rPr>
          <w:rFonts w:hint="eastAsia" w:ascii="仿宋" w:hAnsi="仿宋" w:eastAsia="仿宋" w:cs="仿宋"/>
          <w:sz w:val="24"/>
          <w:szCs w:val="24"/>
        </w:rPr>
        <w:t>报价明细表</w:t>
      </w:r>
    </w:p>
    <w:p>
      <w:pPr>
        <w:spacing w:line="360" w:lineRule="auto"/>
        <w:ind w:firstLine="480" w:firstLineChars="200"/>
        <w:jc w:val="left"/>
        <w:textAlignment w:val="baseline"/>
        <w:rPr>
          <w:rFonts w:ascii="仿宋" w:hAnsi="仿宋" w:eastAsia="仿宋" w:cs="仿宋"/>
          <w:sz w:val="24"/>
          <w:szCs w:val="24"/>
        </w:rPr>
      </w:pPr>
      <w:r>
        <w:rPr>
          <w:rFonts w:hint="eastAsia" w:ascii="仿宋" w:hAnsi="仿宋" w:eastAsia="仿宋" w:cs="仿宋"/>
          <w:sz w:val="24"/>
          <w:szCs w:val="24"/>
        </w:rPr>
        <w:t>（5）</w:t>
      </w:r>
      <w:r>
        <w:rPr>
          <w:rFonts w:hint="eastAsia" w:ascii="仿宋" w:hAnsi="仿宋" w:eastAsia="仿宋" w:cs="仿宋"/>
          <w:b/>
          <w:bCs/>
          <w:sz w:val="24"/>
          <w:szCs w:val="24"/>
        </w:rPr>
        <w:t>※</w:t>
      </w:r>
      <w:r>
        <w:rPr>
          <w:rFonts w:hint="eastAsia" w:ascii="仿宋" w:hAnsi="仿宋" w:eastAsia="仿宋" w:cs="仿宋"/>
          <w:sz w:val="24"/>
          <w:szCs w:val="24"/>
        </w:rPr>
        <w:t>第一章采购邀请中《中华人民共和国政府采购法》规定的资格条件证明文件；</w:t>
      </w:r>
    </w:p>
    <w:p>
      <w:pPr>
        <w:spacing w:line="360" w:lineRule="auto"/>
        <w:ind w:firstLine="480" w:firstLineChars="200"/>
        <w:jc w:val="left"/>
        <w:textAlignment w:val="baseline"/>
        <w:rPr>
          <w:rFonts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b/>
          <w:bCs/>
          <w:sz w:val="24"/>
          <w:szCs w:val="24"/>
        </w:rPr>
        <w:t>※</w:t>
      </w:r>
      <w:r>
        <w:rPr>
          <w:rFonts w:hint="eastAsia" w:ascii="仿宋" w:hAnsi="仿宋" w:eastAsia="仿宋" w:cs="仿宋"/>
          <w:sz w:val="24"/>
          <w:szCs w:val="24"/>
        </w:rPr>
        <w:t>第一章采购邀请中采购人根据采购项目的特殊要求规定的特定条件证明文件；</w:t>
      </w:r>
    </w:p>
    <w:p>
      <w:pPr>
        <w:spacing w:line="360" w:lineRule="auto"/>
        <w:ind w:firstLine="480" w:firstLineChars="200"/>
        <w:jc w:val="left"/>
        <w:textAlignment w:val="baseline"/>
        <w:rPr>
          <w:rFonts w:ascii="仿宋" w:hAnsi="仿宋" w:eastAsia="仿宋" w:cs="仿宋"/>
          <w:sz w:val="24"/>
          <w:szCs w:val="24"/>
        </w:rPr>
      </w:pPr>
      <w:r>
        <w:rPr>
          <w:rFonts w:hint="eastAsia" w:ascii="仿宋" w:hAnsi="仿宋" w:eastAsia="仿宋" w:cs="仿宋"/>
          <w:sz w:val="24"/>
          <w:szCs w:val="24"/>
        </w:rPr>
        <w:t>（7）《商务要求响应表》；</w:t>
      </w:r>
    </w:p>
    <w:p>
      <w:pPr>
        <w:spacing w:line="360" w:lineRule="auto"/>
        <w:ind w:firstLine="480" w:firstLineChars="200"/>
        <w:jc w:val="left"/>
        <w:textAlignment w:val="baseline"/>
        <w:rPr>
          <w:rFonts w:ascii="仿宋" w:hAnsi="仿宋" w:eastAsia="仿宋" w:cs="仿宋"/>
          <w:sz w:val="24"/>
          <w:szCs w:val="24"/>
        </w:rPr>
      </w:pPr>
      <w:r>
        <w:rPr>
          <w:rFonts w:hint="eastAsia" w:ascii="仿宋" w:hAnsi="仿宋" w:eastAsia="仿宋" w:cs="仿宋"/>
          <w:sz w:val="24"/>
          <w:szCs w:val="24"/>
        </w:rPr>
        <w:t>（8）供应商认为需要提供的其他资格证明文件和商务资料等。</w:t>
      </w:r>
    </w:p>
    <w:p>
      <w:pPr>
        <w:spacing w:line="360" w:lineRule="auto"/>
        <w:ind w:firstLine="964" w:firstLineChars="400"/>
        <w:jc w:val="left"/>
        <w:textAlignment w:val="baseline"/>
        <w:rPr>
          <w:rFonts w:ascii="仿宋" w:hAnsi="仿宋" w:eastAsia="仿宋" w:cs="仿宋"/>
          <w:b/>
          <w:bCs/>
          <w:sz w:val="24"/>
          <w:szCs w:val="24"/>
        </w:rPr>
      </w:pPr>
      <w:r>
        <w:rPr>
          <w:rFonts w:hint="eastAsia" w:ascii="仿宋" w:hAnsi="仿宋" w:eastAsia="仿宋" w:cs="仿宋"/>
          <w:b/>
          <w:bCs/>
          <w:sz w:val="24"/>
          <w:szCs w:val="24"/>
        </w:rPr>
        <w:t>响应文件的技术部分</w:t>
      </w:r>
    </w:p>
    <w:p>
      <w:pPr>
        <w:spacing w:line="360" w:lineRule="auto"/>
        <w:ind w:firstLine="480" w:firstLineChars="200"/>
        <w:jc w:val="left"/>
        <w:textAlignment w:val="baseline"/>
        <w:rPr>
          <w:rFonts w:ascii="仿宋" w:hAnsi="仿宋" w:eastAsia="仿宋" w:cs="仿宋"/>
          <w:sz w:val="24"/>
          <w:szCs w:val="24"/>
        </w:rPr>
      </w:pPr>
      <w:r>
        <w:rPr>
          <w:rFonts w:hint="eastAsia" w:ascii="仿宋" w:hAnsi="仿宋" w:eastAsia="仿宋" w:cs="仿宋"/>
          <w:sz w:val="24"/>
          <w:szCs w:val="24"/>
        </w:rPr>
        <w:t>技术部分是证明供应商提供的产品或服务是合格的、并符合磋商文件要求的证明文件，以及对响应报价表中的服务的详细说明，这些文件可以是文字资料、图纸和数据等。若技术性能无特殊说明，则按国家有关部门最新颁布的标准及规范为准； 提供的产品或服务如与磋商文件要求有不符之处，应说明其差别之所在，并在《服务要求响应表》中逐条予以说明。</w:t>
      </w:r>
    </w:p>
    <w:p>
      <w:pPr>
        <w:spacing w:line="360" w:lineRule="auto"/>
        <w:ind w:firstLine="480" w:firstLineChars="200"/>
        <w:jc w:val="left"/>
        <w:textAlignment w:val="baseline"/>
        <w:rPr>
          <w:rFonts w:ascii="仿宋" w:hAnsi="仿宋" w:eastAsia="仿宋" w:cs="仿宋"/>
          <w:sz w:val="24"/>
          <w:szCs w:val="24"/>
        </w:rPr>
      </w:pPr>
      <w:r>
        <w:rPr>
          <w:rFonts w:hint="eastAsia" w:ascii="仿宋" w:hAnsi="仿宋" w:eastAsia="仿宋" w:cs="仿宋"/>
          <w:sz w:val="24"/>
          <w:szCs w:val="24"/>
        </w:rPr>
        <w:t>响应文件应按照磋商文件要求提供技术资料、文件和有关证明，包括但不限于下列文件，</w:t>
      </w:r>
      <w:r>
        <w:rPr>
          <w:rFonts w:hint="eastAsia" w:ascii="仿宋" w:hAnsi="仿宋" w:eastAsia="仿宋" w:cs="仿宋"/>
          <w:b/>
          <w:bCs/>
          <w:sz w:val="24"/>
          <w:szCs w:val="24"/>
        </w:rPr>
        <w:t>其中加※项目不得有缺失或无效</w:t>
      </w:r>
      <w:r>
        <w:rPr>
          <w:rFonts w:hint="eastAsia" w:ascii="仿宋" w:hAnsi="仿宋" w:eastAsia="仿宋" w:cs="仿宋"/>
          <w:sz w:val="24"/>
          <w:szCs w:val="24"/>
        </w:rPr>
        <w:t>：</w:t>
      </w:r>
    </w:p>
    <w:p>
      <w:pPr>
        <w:spacing w:line="360" w:lineRule="auto"/>
        <w:ind w:firstLine="480" w:firstLineChars="200"/>
        <w:jc w:val="left"/>
        <w:textAlignment w:val="baseline"/>
        <w:rPr>
          <w:rFonts w:ascii="仿宋" w:hAnsi="仿宋" w:eastAsia="仿宋" w:cs="仿宋"/>
          <w:sz w:val="24"/>
          <w:szCs w:val="24"/>
        </w:rPr>
      </w:pPr>
      <w:r>
        <w:rPr>
          <w:rFonts w:hint="eastAsia" w:ascii="仿宋" w:hAnsi="仿宋" w:eastAsia="仿宋" w:cs="仿宋"/>
          <w:sz w:val="24"/>
          <w:szCs w:val="24"/>
        </w:rPr>
        <w:t>（1）※项目实施方案；</w:t>
      </w:r>
    </w:p>
    <w:p>
      <w:pPr>
        <w:spacing w:line="360" w:lineRule="auto"/>
        <w:ind w:firstLine="480" w:firstLineChars="200"/>
        <w:jc w:val="left"/>
        <w:textAlignment w:val="baseline"/>
        <w:rPr>
          <w:rFonts w:ascii="仿宋" w:hAnsi="仿宋" w:eastAsia="仿宋" w:cs="仿宋"/>
          <w:sz w:val="24"/>
          <w:szCs w:val="24"/>
        </w:rPr>
      </w:pPr>
      <w:r>
        <w:rPr>
          <w:rFonts w:hint="eastAsia" w:ascii="仿宋" w:hAnsi="仿宋" w:eastAsia="仿宋" w:cs="仿宋"/>
          <w:sz w:val="24"/>
          <w:szCs w:val="24"/>
        </w:rPr>
        <w:t>（2）※《技术/服务</w:t>
      </w:r>
      <w:r>
        <w:rPr>
          <w:rFonts w:hint="eastAsia" w:ascii="仿宋" w:hAnsi="仿宋" w:eastAsia="仿宋" w:cs="仿宋"/>
          <w:color w:val="000000" w:themeColor="text1"/>
          <w:sz w:val="24"/>
          <w:szCs w:val="24"/>
          <w14:textFill>
            <w14:solidFill>
              <w14:schemeClr w14:val="tx1"/>
            </w14:solidFill>
          </w14:textFill>
        </w:rPr>
        <w:t>要求响应表</w:t>
      </w:r>
      <w:r>
        <w:rPr>
          <w:rFonts w:hint="eastAsia" w:ascii="仿宋" w:hAnsi="仿宋" w:eastAsia="仿宋" w:cs="仿宋"/>
          <w:sz w:val="24"/>
          <w:szCs w:val="24"/>
        </w:rPr>
        <w:t>》；</w:t>
      </w:r>
    </w:p>
    <w:p>
      <w:pPr>
        <w:spacing w:line="360" w:lineRule="auto"/>
        <w:ind w:firstLine="480" w:firstLineChars="200"/>
        <w:jc w:val="left"/>
        <w:textAlignment w:val="baseline"/>
        <w:rPr>
          <w:rFonts w:ascii="仿宋" w:hAnsi="仿宋" w:eastAsia="仿宋" w:cs="仿宋"/>
          <w:sz w:val="24"/>
          <w:szCs w:val="24"/>
        </w:rPr>
      </w:pPr>
      <w:r>
        <w:rPr>
          <w:rFonts w:hint="eastAsia" w:ascii="仿宋" w:hAnsi="仿宋" w:eastAsia="仿宋" w:cs="仿宋"/>
          <w:sz w:val="24"/>
          <w:szCs w:val="24"/>
        </w:rPr>
        <w:t>（3）售后服务及服务承诺；</w:t>
      </w:r>
    </w:p>
    <w:p>
      <w:pPr>
        <w:spacing w:line="360" w:lineRule="auto"/>
        <w:ind w:firstLine="480" w:firstLineChars="200"/>
        <w:jc w:val="left"/>
        <w:textAlignment w:val="baseline"/>
        <w:rPr>
          <w:rFonts w:ascii="仿宋" w:hAnsi="仿宋" w:eastAsia="仿宋" w:cs="仿宋"/>
          <w:sz w:val="24"/>
          <w:szCs w:val="24"/>
        </w:rPr>
      </w:pPr>
      <w:r>
        <w:rPr>
          <w:rFonts w:hint="eastAsia" w:ascii="仿宋" w:hAnsi="仿宋" w:eastAsia="仿宋" w:cs="仿宋"/>
          <w:sz w:val="24"/>
          <w:szCs w:val="24"/>
        </w:rPr>
        <w:t>（4）履约能力及综合实力；</w:t>
      </w:r>
    </w:p>
    <w:p>
      <w:pPr>
        <w:spacing w:line="360" w:lineRule="auto"/>
        <w:ind w:firstLine="480" w:firstLineChars="200"/>
        <w:jc w:val="left"/>
        <w:textAlignment w:val="baseline"/>
        <w:rPr>
          <w:rFonts w:ascii="仿宋" w:hAnsi="仿宋" w:eastAsia="仿宋" w:cs="仿宋"/>
          <w:sz w:val="24"/>
          <w:szCs w:val="24"/>
        </w:rPr>
      </w:pPr>
      <w:r>
        <w:rPr>
          <w:rFonts w:hint="eastAsia" w:ascii="仿宋" w:hAnsi="仿宋" w:eastAsia="仿宋" w:cs="仿宋"/>
          <w:sz w:val="24"/>
          <w:szCs w:val="24"/>
        </w:rPr>
        <w:t>（5）技术团队配置；</w:t>
      </w:r>
    </w:p>
    <w:p>
      <w:pPr>
        <w:spacing w:line="360" w:lineRule="auto"/>
        <w:ind w:firstLine="480" w:firstLineChars="200"/>
        <w:jc w:val="left"/>
        <w:textAlignment w:val="baseline"/>
        <w:rPr>
          <w:rFonts w:ascii="仿宋" w:hAnsi="仿宋" w:eastAsia="仿宋" w:cs="仿宋"/>
          <w:sz w:val="24"/>
          <w:szCs w:val="24"/>
        </w:rPr>
      </w:pPr>
      <w:r>
        <w:rPr>
          <w:rFonts w:hint="eastAsia" w:ascii="仿宋" w:hAnsi="仿宋" w:eastAsia="仿宋" w:cs="仿宋"/>
          <w:sz w:val="24"/>
          <w:szCs w:val="24"/>
        </w:rPr>
        <w:t>（6）供应商认为需要提供的其他技术资料。</w:t>
      </w:r>
    </w:p>
    <w:p>
      <w:pPr>
        <w:spacing w:line="360" w:lineRule="auto"/>
        <w:ind w:firstLine="480" w:firstLineChars="200"/>
        <w:jc w:val="left"/>
        <w:textAlignment w:val="baseline"/>
        <w:rPr>
          <w:rFonts w:ascii="仿宋" w:hAnsi="仿宋" w:eastAsia="仿宋" w:cs="仿宋"/>
          <w:sz w:val="24"/>
          <w:szCs w:val="24"/>
        </w:rPr>
      </w:pPr>
      <w:r>
        <w:rPr>
          <w:rFonts w:hint="eastAsia" w:ascii="仿宋" w:hAnsi="仿宋" w:eastAsia="仿宋" w:cs="仿宋"/>
          <w:sz w:val="24"/>
          <w:szCs w:val="24"/>
        </w:rPr>
        <w:t>2.4 供应商应将响应文件按顺序装订成册，并编制响应文件资料目录。</w:t>
      </w:r>
    </w:p>
    <w:p>
      <w:pPr>
        <w:snapToGrid w:val="0"/>
        <w:spacing w:line="360" w:lineRule="auto"/>
        <w:ind w:firstLine="482" w:firstLineChars="200"/>
        <w:textAlignment w:val="baseline"/>
        <w:rPr>
          <w:rFonts w:ascii="仿宋" w:hAnsi="仿宋" w:eastAsia="仿宋" w:cs="仿宋"/>
          <w:b/>
          <w:sz w:val="24"/>
        </w:rPr>
      </w:pPr>
      <w:r>
        <w:rPr>
          <w:rFonts w:hint="eastAsia" w:ascii="仿宋" w:hAnsi="仿宋" w:eastAsia="仿宋" w:cs="仿宋"/>
          <w:b/>
          <w:sz w:val="24"/>
        </w:rPr>
        <w:t>3、参加供应商资格的文件证明</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3.1供应商应提交证明其有资格参加磋商和成交后有能力独立履行合同的文件，并作为其响应文件的一部分。</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3.2供应商除必须具有履行合同所需提供的设备以及服务的能力外，还必须具备相应的财务、技术方面的能力。</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3.3供应商应填写并提交磋商文件所附的“资格证明文件”。</w:t>
      </w:r>
    </w:p>
    <w:p>
      <w:pPr>
        <w:snapToGrid w:val="0"/>
        <w:spacing w:line="360" w:lineRule="auto"/>
        <w:ind w:firstLine="482" w:firstLineChars="200"/>
        <w:textAlignment w:val="baseline"/>
        <w:rPr>
          <w:rFonts w:ascii="仿宋" w:hAnsi="仿宋" w:eastAsia="仿宋" w:cs="仿宋"/>
          <w:b/>
          <w:sz w:val="24"/>
        </w:rPr>
      </w:pPr>
      <w:r>
        <w:rPr>
          <w:rFonts w:hint="eastAsia" w:ascii="仿宋" w:hAnsi="仿宋" w:eastAsia="仿宋" w:cs="仿宋"/>
          <w:b/>
          <w:sz w:val="24"/>
        </w:rPr>
        <w:t>4、磋商响应报价表</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4.1供应商应按照磋商文件规定格式填报磋商响应报价表。每项产品或服务只允许有一个报价，任何有选择的报价将不予接受，磋商文件中另有规定的按规定执行。</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4.2标的物</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详见采购需求所述要求。</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4.3有关费用处理</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本次采购供应商的报价应包括为完成本项目发生的所有费用，本磋商文件中另有规定的除外。</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4.4其它费用处理</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磋商文件未列明，而供应商认为必须的费用也须列入报价。</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4.5报价采用的货币</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响应文件中的单价和总价，无特殊规定的采用人民币报价，以元为单位标注。磋商文件中另有规定的按规定执行。</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4.6 磋商响应报价表上的价格应按磋商文件规定填写。</w:t>
      </w:r>
    </w:p>
    <w:p>
      <w:pPr>
        <w:snapToGrid w:val="0"/>
        <w:spacing w:line="360" w:lineRule="auto"/>
        <w:ind w:firstLine="482" w:firstLineChars="200"/>
        <w:textAlignment w:val="baseline"/>
        <w:rPr>
          <w:rFonts w:ascii="仿宋" w:hAnsi="仿宋" w:eastAsia="仿宋" w:cs="仿宋"/>
          <w:b/>
          <w:sz w:val="24"/>
        </w:rPr>
      </w:pPr>
      <w:r>
        <w:rPr>
          <w:rFonts w:hint="eastAsia" w:ascii="仿宋" w:hAnsi="仿宋" w:eastAsia="仿宋" w:cs="仿宋"/>
          <w:b/>
          <w:sz w:val="24"/>
        </w:rPr>
        <w:t>5、项目需求响应方案</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5.1提供为完成本项目的总体实施方案。</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5.2对磋商文件中项目需求的技术与商务条款要求逐项作出应答，并提供依据或说明。</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5.3供应商认为需要的其他技术文件或说明。</w:t>
      </w:r>
    </w:p>
    <w:p>
      <w:pPr>
        <w:snapToGrid w:val="0"/>
        <w:spacing w:line="360" w:lineRule="auto"/>
        <w:ind w:firstLine="482" w:firstLineChars="200"/>
        <w:textAlignment w:val="baseline"/>
        <w:rPr>
          <w:rFonts w:ascii="仿宋" w:hAnsi="仿宋" w:eastAsia="仿宋" w:cs="仿宋"/>
          <w:b/>
          <w:sz w:val="24"/>
        </w:rPr>
      </w:pPr>
      <w:r>
        <w:rPr>
          <w:rFonts w:hint="eastAsia" w:ascii="仿宋" w:hAnsi="仿宋" w:eastAsia="仿宋" w:cs="仿宋"/>
          <w:b/>
          <w:sz w:val="24"/>
        </w:rPr>
        <w:t>6、磋商保证金</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6.1</w:t>
      </w:r>
      <w:r>
        <w:rPr>
          <w:rFonts w:hint="eastAsia" w:ascii="仿宋" w:hAnsi="仿宋" w:eastAsia="仿宋" w:cs="仿宋"/>
          <w:bCs/>
          <w:color w:val="000000" w:themeColor="text1"/>
          <w:sz w:val="24"/>
          <w14:textFill>
            <w14:solidFill>
              <w14:schemeClr w14:val="tx1"/>
            </w14:solidFill>
          </w14:textFill>
        </w:rPr>
        <w:t>本项目不收取磋商保证金。</w:t>
      </w:r>
    </w:p>
    <w:p>
      <w:pPr>
        <w:pStyle w:val="45"/>
        <w:numPr>
          <w:ilvl w:val="255"/>
          <w:numId w:val="0"/>
        </w:numPr>
        <w:spacing w:line="360" w:lineRule="auto"/>
        <w:jc w:val="both"/>
        <w:textAlignment w:val="baseline"/>
        <w:rPr>
          <w:rFonts w:ascii="仿宋" w:hAnsi="仿宋" w:eastAsia="仿宋" w:cs="仿宋"/>
        </w:rPr>
      </w:pPr>
      <w:bookmarkStart w:id="28" w:name="_Toc32556"/>
      <w:bookmarkStart w:id="29" w:name="_Toc19091"/>
      <w:bookmarkStart w:id="30" w:name="_Toc14484_WPSOffice_Level2"/>
      <w:bookmarkStart w:id="31" w:name="_Toc29996"/>
      <w:bookmarkStart w:id="32" w:name="_Toc942"/>
      <w:bookmarkStart w:id="33" w:name="_Toc9965"/>
      <w:r>
        <w:rPr>
          <w:rFonts w:hint="eastAsia" w:ascii="仿宋" w:hAnsi="仿宋" w:eastAsia="仿宋" w:cs="仿宋"/>
        </w:rPr>
        <w:t>三、响应文件的递交</w:t>
      </w:r>
      <w:bookmarkEnd w:id="28"/>
      <w:bookmarkEnd w:id="29"/>
      <w:bookmarkEnd w:id="30"/>
      <w:bookmarkEnd w:id="31"/>
      <w:bookmarkEnd w:id="32"/>
      <w:bookmarkEnd w:id="33"/>
    </w:p>
    <w:p>
      <w:pPr>
        <w:snapToGrid w:val="0"/>
        <w:spacing w:line="360" w:lineRule="auto"/>
        <w:ind w:firstLine="482" w:firstLineChars="200"/>
        <w:textAlignment w:val="baseline"/>
        <w:rPr>
          <w:rFonts w:ascii="仿宋" w:hAnsi="仿宋" w:eastAsia="仿宋" w:cs="仿宋"/>
          <w:bCs/>
          <w:sz w:val="24"/>
        </w:rPr>
      </w:pPr>
      <w:r>
        <w:rPr>
          <w:rFonts w:hint="eastAsia" w:ascii="仿宋" w:hAnsi="仿宋" w:eastAsia="仿宋" w:cs="仿宋"/>
          <w:b/>
          <w:sz w:val="24"/>
        </w:rPr>
        <w:t>1、响应文件的密封和标记</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1.1供应商应严格按照采购邀请要求的份数准备响应文件，每份响应文件须清楚地标明“正本”或“副本”字样。一旦正本和副本不符，以正本为准。供应商应将响应文件正本和所有副本密封。</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1.2密封的响应文件应：</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（1）按采购邀请中注明的地址送达规定地点；</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（2）注明参加磋商项目名称、磋商文件编号及参加的分包号；</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（3）密封包装上应写明供应商名称和地址。</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1.3如果密封包装未按要求密封和加写标记，采购代理机构对误投或过早启封概不负责。对由此造成提前开封的响应文件，其风险由供应商自行承担。</w:t>
      </w:r>
    </w:p>
    <w:p>
      <w:pPr>
        <w:snapToGrid w:val="0"/>
        <w:spacing w:line="360" w:lineRule="auto"/>
        <w:ind w:firstLine="482" w:firstLineChars="200"/>
        <w:textAlignment w:val="baseline"/>
        <w:rPr>
          <w:rFonts w:ascii="仿宋" w:hAnsi="仿宋" w:eastAsia="仿宋" w:cs="仿宋"/>
          <w:b/>
          <w:sz w:val="24"/>
        </w:rPr>
      </w:pPr>
      <w:r>
        <w:rPr>
          <w:rFonts w:hint="eastAsia" w:ascii="仿宋" w:hAnsi="仿宋" w:eastAsia="仿宋" w:cs="仿宋"/>
          <w:b/>
          <w:sz w:val="24"/>
        </w:rPr>
        <w:t>2、响应文件的递交</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2.1采购代理机构收到响应文件的时间不得迟于本磋商文件规定的响应文件接收截止时间。</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2.2</w:t>
      </w:r>
      <w:r>
        <w:rPr>
          <w:rFonts w:hint="eastAsia" w:ascii="仿宋" w:hAnsi="仿宋" w:eastAsia="仿宋" w:cs="仿宋"/>
          <w:bCs/>
          <w:color w:val="000000" w:themeColor="text1"/>
          <w:sz w:val="24"/>
          <w14:textFill>
            <w14:solidFill>
              <w14:schemeClr w14:val="tx1"/>
            </w14:solidFill>
          </w14:textFill>
        </w:rPr>
        <w:t>响应文件接收截止时间前，采购代理机构有权通过书面通知的形式推迟响应文件接收截止时间，在此情况下，供应商的所有权利和义务以及受制的响应文件接收截止时间均应以延长后新的响应文件接收截止时间为准。</w:t>
      </w:r>
    </w:p>
    <w:p>
      <w:pPr>
        <w:snapToGrid w:val="0"/>
        <w:spacing w:line="360" w:lineRule="auto"/>
        <w:ind w:firstLine="482" w:firstLineChars="200"/>
        <w:textAlignment w:val="baseline"/>
        <w:rPr>
          <w:rFonts w:ascii="仿宋" w:hAnsi="仿宋" w:eastAsia="仿宋" w:cs="仿宋"/>
          <w:b/>
          <w:sz w:val="24"/>
        </w:rPr>
      </w:pPr>
      <w:r>
        <w:rPr>
          <w:rFonts w:hint="eastAsia" w:ascii="仿宋" w:hAnsi="仿宋" w:eastAsia="仿宋" w:cs="仿宋"/>
          <w:b/>
          <w:sz w:val="24"/>
        </w:rPr>
        <w:t>3、迟交的响应文件</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3.1采购代理机构将拒绝在规定的响应文件接收截止时间后接收响应文件。</w:t>
      </w:r>
    </w:p>
    <w:p>
      <w:pPr>
        <w:snapToGrid w:val="0"/>
        <w:spacing w:line="360" w:lineRule="auto"/>
        <w:ind w:firstLine="482" w:firstLineChars="200"/>
        <w:textAlignment w:val="baseline"/>
        <w:rPr>
          <w:rFonts w:ascii="仿宋" w:hAnsi="仿宋" w:eastAsia="仿宋" w:cs="仿宋"/>
          <w:b/>
          <w:sz w:val="24"/>
        </w:rPr>
      </w:pPr>
      <w:r>
        <w:rPr>
          <w:rFonts w:hint="eastAsia" w:ascii="仿宋" w:hAnsi="仿宋" w:eastAsia="仿宋" w:cs="仿宋"/>
          <w:b/>
          <w:sz w:val="24"/>
        </w:rPr>
        <w:t>4、响应文件的修改和撤回</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4.1供应商在递交响应文件后，可以修改或撤回其谈判响应文件，但这种修改和撤回，必须在规定的响应文件接收截止时间前，以书面形式送达指定地点。</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4.2供应商的修改或撤回通知书，应按本文件规定进行编制、密封、标记和发送，并应在封套上加注“修改”和“撤回”字样。</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4.3 供应商在提交最终报价之前，可以根据磋商情况退出磋商。</w:t>
      </w:r>
    </w:p>
    <w:p>
      <w:pPr>
        <w:snapToGrid w:val="0"/>
        <w:spacing w:line="360" w:lineRule="auto"/>
        <w:ind w:firstLine="482" w:firstLineChars="200"/>
        <w:textAlignment w:val="baseline"/>
        <w:rPr>
          <w:rFonts w:ascii="仿宋" w:hAnsi="仿宋" w:eastAsia="仿宋" w:cs="仿宋"/>
          <w:b/>
          <w:sz w:val="24"/>
        </w:rPr>
      </w:pPr>
      <w:r>
        <w:rPr>
          <w:rFonts w:hint="eastAsia" w:ascii="仿宋" w:hAnsi="仿宋" w:eastAsia="仿宋" w:cs="仿宋"/>
          <w:b/>
          <w:sz w:val="24"/>
        </w:rPr>
        <w:t>5、磋商响应有效期</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5.1 磋商响应有效期为磋商文件中规定的响应文件接收截止时间起九十（90）天。响应文件中承诺的响应有效期应当不少于磋商文件中载明的磋商响应有效期。</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5.2 在特殊情况下，采购代理机构于原磋商响应有效期满之前，可向供应商提出延长磋商响应有效期的要求。这种要求与答复均应采用书面形式。供应商可以拒绝采购代理机构的这一要求而放弃磋商响应。同意延长磋商响应有效期的供应商既不能要求也不允许修改其响应文件。</w:t>
      </w:r>
    </w:p>
    <w:p>
      <w:pPr>
        <w:pStyle w:val="45"/>
        <w:numPr>
          <w:ilvl w:val="255"/>
          <w:numId w:val="0"/>
        </w:numPr>
        <w:spacing w:line="360" w:lineRule="auto"/>
        <w:jc w:val="both"/>
        <w:textAlignment w:val="baseline"/>
        <w:rPr>
          <w:rFonts w:ascii="仿宋" w:hAnsi="仿宋" w:eastAsia="仿宋" w:cs="仿宋"/>
        </w:rPr>
      </w:pPr>
      <w:bookmarkStart w:id="34" w:name="_Toc25127"/>
      <w:bookmarkStart w:id="35" w:name="_Toc30195"/>
      <w:bookmarkStart w:id="36" w:name="_Toc24899_WPSOffice_Level2"/>
      <w:bookmarkStart w:id="37" w:name="_Toc22360"/>
      <w:bookmarkStart w:id="38" w:name="_Toc2615"/>
      <w:bookmarkStart w:id="39" w:name="_Toc4897"/>
      <w:r>
        <w:rPr>
          <w:rFonts w:hint="eastAsia" w:ascii="仿宋" w:hAnsi="仿宋" w:eastAsia="仿宋" w:cs="仿宋"/>
        </w:rPr>
        <w:t>四、磋商与评审</w:t>
      </w:r>
      <w:bookmarkEnd w:id="34"/>
      <w:bookmarkEnd w:id="35"/>
      <w:bookmarkEnd w:id="36"/>
      <w:bookmarkEnd w:id="37"/>
      <w:bookmarkEnd w:id="38"/>
      <w:bookmarkEnd w:id="39"/>
    </w:p>
    <w:p>
      <w:pPr>
        <w:snapToGrid w:val="0"/>
        <w:spacing w:line="360" w:lineRule="auto"/>
        <w:ind w:firstLine="482" w:firstLineChars="200"/>
        <w:textAlignment w:val="baseline"/>
        <w:rPr>
          <w:rFonts w:ascii="仿宋" w:hAnsi="仿宋" w:eastAsia="仿宋" w:cs="仿宋"/>
          <w:b/>
          <w:sz w:val="24"/>
        </w:rPr>
      </w:pPr>
      <w:r>
        <w:rPr>
          <w:rFonts w:hint="eastAsia" w:ascii="仿宋" w:hAnsi="仿宋" w:eastAsia="仿宋" w:cs="仿宋"/>
          <w:b/>
          <w:sz w:val="24"/>
        </w:rPr>
        <w:t>1、磋商仪式</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1.1采购代理机构将在采购邀请中规定的时间和地点组织磋商开始仪式，仪式由采购代理机构主持，供应商应委派携带有效证件的代表准时参加，参加仪式的代表需签名以证明其出席。</w:t>
      </w:r>
    </w:p>
    <w:p>
      <w:pPr>
        <w:snapToGrid w:val="0"/>
        <w:spacing w:line="360" w:lineRule="auto"/>
        <w:ind w:firstLine="482" w:firstLineChars="200"/>
        <w:textAlignment w:val="baseline"/>
        <w:rPr>
          <w:rFonts w:ascii="仿宋" w:hAnsi="仿宋" w:eastAsia="仿宋" w:cs="仿宋"/>
          <w:b/>
          <w:sz w:val="24"/>
        </w:rPr>
      </w:pPr>
      <w:r>
        <w:rPr>
          <w:rFonts w:hint="eastAsia" w:ascii="仿宋" w:hAnsi="仿宋" w:eastAsia="仿宋" w:cs="仿宋"/>
          <w:b/>
          <w:sz w:val="24"/>
        </w:rPr>
        <w:t>2、磋商小组</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2.1 磋商开始仪式结束后，采购代理机构将立即组织磋商小组进行评审。</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2.2 磋商小组由政府采购评审专家、采购人代表组成，且人员构成符合政府采购有关规定。</w:t>
      </w:r>
    </w:p>
    <w:p>
      <w:pPr>
        <w:snapToGrid w:val="0"/>
        <w:spacing w:line="360" w:lineRule="auto"/>
        <w:ind w:firstLine="482" w:firstLineChars="200"/>
        <w:textAlignment w:val="baseline"/>
        <w:rPr>
          <w:rFonts w:ascii="仿宋" w:hAnsi="仿宋" w:eastAsia="仿宋" w:cs="仿宋"/>
          <w:b/>
          <w:sz w:val="24"/>
        </w:rPr>
      </w:pPr>
      <w:r>
        <w:rPr>
          <w:rFonts w:hint="eastAsia" w:ascii="仿宋" w:hAnsi="仿宋" w:eastAsia="仿宋" w:cs="仿宋"/>
          <w:b/>
          <w:sz w:val="24"/>
        </w:rPr>
        <w:t>3、磋商评审过程的保密与公正</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3.1磋商小组、采购人和采购代理机构工作人员、相关监督人员等与评审工作有关的人员，对评审情况以及在评审过程中获悉的国家秘密、商业秘密负有保密责任。</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3.2在磋商评审过程中，供应商不得以任何行为影响磋商评审过程，否则其响应文件将被作为无效响应文件。</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3.3磋商小组成员应当按照客观、公正、审慎的原则，根据磋商文件规定的评审程序、评审方法和评审标准进行独立评审。未实质性响应磋商文件的响应文件按无效响应处理，磋商小组</w:t>
      </w:r>
      <w:r>
        <w:rPr>
          <w:rFonts w:hint="eastAsia" w:ascii="仿宋" w:hAnsi="仿宋" w:eastAsia="仿宋" w:cs="仿宋"/>
          <w:b/>
          <w:bCs/>
          <w:sz w:val="24"/>
        </w:rPr>
        <w:t>应当现场告知该供应商无效响应的原因。</w:t>
      </w:r>
    </w:p>
    <w:p>
      <w:pPr>
        <w:snapToGrid w:val="0"/>
        <w:spacing w:line="360" w:lineRule="auto"/>
        <w:ind w:firstLine="482" w:firstLineChars="200"/>
        <w:textAlignment w:val="baseline"/>
        <w:rPr>
          <w:rFonts w:ascii="仿宋" w:hAnsi="仿宋" w:eastAsia="仿宋" w:cs="仿宋"/>
          <w:b/>
          <w:sz w:val="24"/>
        </w:rPr>
      </w:pPr>
      <w:r>
        <w:rPr>
          <w:rFonts w:hint="eastAsia" w:ascii="仿宋" w:hAnsi="仿宋" w:eastAsia="仿宋" w:cs="仿宋"/>
          <w:b/>
          <w:sz w:val="24"/>
        </w:rPr>
        <w:t>4、评审过程的澄清、说明和更正</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4.1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4.2接到磋商小组要求的供应商应派人按磋商小组通知的时间和地点做出书面澄清、说明或更正。供应商的澄清、说明或者更正应当由法定代表人或授权代表签字或者加盖公章。由授权代表签字的，应当附法人授权书。供应商为自然人的，应当由本人签字并附身份证明。</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4.3 接到磋商小组澄清要求的供应商如未按规定做出澄清，其风险由供应商自行承担。</w:t>
      </w:r>
    </w:p>
    <w:p>
      <w:pPr>
        <w:snapToGrid w:val="0"/>
        <w:spacing w:line="360" w:lineRule="auto"/>
        <w:ind w:firstLine="482" w:firstLineChars="200"/>
        <w:textAlignment w:val="baseline"/>
        <w:rPr>
          <w:rFonts w:ascii="仿宋" w:hAnsi="仿宋" w:eastAsia="仿宋" w:cs="仿宋"/>
          <w:bCs/>
          <w:sz w:val="24"/>
        </w:rPr>
      </w:pPr>
      <w:r>
        <w:rPr>
          <w:rFonts w:hint="eastAsia" w:ascii="仿宋" w:hAnsi="仿宋" w:eastAsia="仿宋" w:cs="仿宋"/>
          <w:b/>
          <w:sz w:val="24"/>
        </w:rPr>
        <w:t>5、对响应文件的初审</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5.1响应文件初审分为资格性检查和符合性检查。</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资格性检查：依据法律法规和磋商文件的规定，对响应文件中的资格证明文件等进行审查，以确定供应商是否具备参加磋商的资格。</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磋商小组在进行资格性审查的同时，将在“信用中国”网站（www.creditchina.gov.cn）对供应商是否被列入失信被执行人、重大税收违法案件当事人名单、政府采购严重失信行为记录名单情况进行查询，以确定供应商是否具备参加磋商的资格。查询结果将以网页打印的形式留存并归档。</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符合性检查：依据磋商文件的规定，从响应文件的有效性、完整性和对磋商文件的响应程度进行审查，以确定是否对磋商文件的实质性要求作出响应。</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5.2在正式磋商之前，磋商小组将首先审查每份响应文件是否实质性响应了磋商文件的要求。实质性响应的响应文件应该是与磋商文件要求的条款、条件和规格相符，没有重大负偏离或保留。</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所谓重大负偏离或保留是指与磋商文件规定的实质性要求存在负偏离，或者在实质上与磋商文件不一致，而且限制了合同中买方和见证方的权利或供应商的义务，纠正这些偏离或保留将会对其他实质性响应要求的供应商的竞争地位产生不公正的影响。重大偏离由磋商小组按照少数服从多数的原则认定。磋商小组决定响应文件的响应性只根据响应文件本身的内容，而不寻求外部的证据。</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5.3 被认定为未实质性响应磋商文件的响应文件的情形</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（1）未按照磋商文件规定要求密封、签署、盖章的；</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（2）供应商在报价时采用选择性报价；</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（3）供应商不符合磋商文件中规定的合格供应商资格要求的；</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（4）不符合法律、法规和磋商文件中规定的其他实质性要求和条件的（本磋商文件中有下划线部分为实质性要求和条件）；</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（5）其他法律、法规及本磋商文件规定的属未实质性响应的响应文件的情形；</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（6）供应商被 “信用中国”网站（www.creditchina.gov.cn）列入失信被执行人或重大税收违法案件当事人名单或政府采购严重失信行为记录名单。</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5.4 未实质性响应磋商文件的响应文件按无效响应处理，磋商小组将予以拒绝，供应商不得通过修改或撤销不合要求的偏离或保留而使其响应文件成为实质性响应的文件。</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 xml:space="preserve">5.5  </w:t>
      </w:r>
      <w:r>
        <w:rPr>
          <w:rFonts w:hint="eastAsia" w:ascii="仿宋" w:hAnsi="仿宋" w:eastAsia="仿宋" w:cs="仿宋"/>
          <w:sz w:val="24"/>
        </w:rPr>
        <w:t>磋商小组可依据政府采购相关规定对供应商的响应文件中报价前后不一致的情形进行修正，经供应商确认后产生约束力，供应商不确认的，其响应无效。</w:t>
      </w:r>
    </w:p>
    <w:p>
      <w:pPr>
        <w:snapToGrid w:val="0"/>
        <w:spacing w:line="360" w:lineRule="auto"/>
        <w:ind w:firstLine="482" w:firstLineChars="200"/>
        <w:textAlignment w:val="baseline"/>
        <w:rPr>
          <w:rFonts w:ascii="仿宋" w:hAnsi="仿宋" w:eastAsia="仿宋" w:cs="仿宋"/>
          <w:b/>
          <w:sz w:val="24"/>
        </w:rPr>
      </w:pPr>
      <w:r>
        <w:rPr>
          <w:rFonts w:hint="eastAsia" w:ascii="仿宋" w:hAnsi="仿宋" w:eastAsia="仿宋" w:cs="仿宋"/>
          <w:b/>
          <w:sz w:val="24"/>
        </w:rPr>
        <w:t>6、磋商程序及评审方法和标准</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6.1磋商程序</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6.1.1 对于通过资格性和符合性审查的供应商，磋商小组所有成员将集中与单一供应商分别进行磋商。</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在磋商过程中，</w:t>
      </w:r>
      <w:r>
        <w:rPr>
          <w:rFonts w:hint="eastAsia" w:ascii="仿宋" w:hAnsi="仿宋" w:eastAsia="仿宋" w:cs="仿宋"/>
          <w:sz w:val="24"/>
        </w:rPr>
        <w:t>磋商小组可以根据磋商文件和磋商情况改变采购需求中</w:t>
      </w:r>
      <w:r>
        <w:rPr>
          <w:rFonts w:hint="eastAsia" w:ascii="仿宋" w:hAnsi="仿宋" w:eastAsia="仿宋" w:cs="仿宋"/>
          <w:bCs/>
          <w:sz w:val="24"/>
        </w:rPr>
        <w:t>的技术、服务要求以及合同草案条款，但不得变动磋商文件中的其他内容。实质性变动的内容，须经采购人代表确认。对磋商文件作出的实质性变动是磋商文件的有效组成部分，磋商小组应当及时以书面形式同时通知所有参加磋商的供应商。</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 xml:space="preserve"> 6.1.2 磋商文件能够详细列明采购标的的技术、服务要求的，磋商结束后，磋商小组将要求所有实质性响应的供应商在规定时间内提交</w:t>
      </w:r>
      <w:r>
        <w:rPr>
          <w:rFonts w:hint="eastAsia" w:ascii="仿宋" w:hAnsi="仿宋" w:eastAsia="仿宋" w:cs="仿宋"/>
          <w:sz w:val="24"/>
        </w:rPr>
        <w:t>最终报价</w:t>
      </w:r>
      <w:r>
        <w:rPr>
          <w:rFonts w:hint="eastAsia" w:ascii="仿宋" w:hAnsi="仿宋" w:eastAsia="仿宋" w:cs="仿宋"/>
          <w:bCs/>
          <w:sz w:val="24"/>
        </w:rPr>
        <w:t>。</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磋商文件不能详细列明采购标的的技术、服务要求，需经磋商由供应商提供最终设计方案或解决方案的，磋商结束后，磋商小组将按照少数服从多数的原则投票推荐3家以上供应商的设计方案或者解决方案，并要求其在规定时间内提交</w:t>
      </w:r>
      <w:r>
        <w:rPr>
          <w:rFonts w:hint="eastAsia" w:ascii="仿宋" w:hAnsi="仿宋" w:eastAsia="仿宋" w:cs="仿宋"/>
          <w:sz w:val="24"/>
        </w:rPr>
        <w:t>最终报价</w:t>
      </w:r>
      <w:r>
        <w:rPr>
          <w:rFonts w:hint="eastAsia" w:ascii="仿宋" w:hAnsi="仿宋" w:eastAsia="仿宋" w:cs="仿宋"/>
          <w:bCs/>
          <w:sz w:val="24"/>
        </w:rPr>
        <w:t>。</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最终报价是供应商响应文件的有效组成部分。符合《政府采购竞争性磋商采购方式管理暂行办法》第三条第四项及《财政部关于竞争性磋商采购方式管理暂行办法有关问题的补充通知》（财库[2015]124号）规定情形的，提交最终报价的供应商可以为2家。</w:t>
      </w:r>
    </w:p>
    <w:p>
      <w:pPr>
        <w:snapToGrid w:val="0"/>
        <w:spacing w:line="360" w:lineRule="auto"/>
        <w:ind w:firstLine="480" w:firstLineChars="200"/>
        <w:textAlignment w:val="baseline"/>
        <w:rPr>
          <w:rFonts w:ascii="仿宋" w:hAnsi="仿宋" w:eastAsia="仿宋" w:cs="仿宋"/>
          <w:sz w:val="24"/>
        </w:rPr>
      </w:pPr>
      <w:r>
        <w:rPr>
          <w:rFonts w:hint="eastAsia" w:ascii="仿宋" w:hAnsi="仿宋" w:eastAsia="仿宋" w:cs="仿宋"/>
          <w:bCs/>
          <w:sz w:val="24"/>
        </w:rPr>
        <w:t xml:space="preserve">6.1.3 </w:t>
      </w:r>
      <w:r>
        <w:rPr>
          <w:rFonts w:hint="eastAsia" w:ascii="仿宋" w:hAnsi="仿宋" w:eastAsia="仿宋" w:cs="仿宋"/>
          <w:sz w:val="24"/>
        </w:rPr>
        <w:t>供应商未在磋商小组规定的时间内完成最终报价的视为放弃磋商，其磋商响应按无效响应处理。磋商小组根据磋商情况可以要求供应商进行两次或两次以上的报价。磋商小组最后一轮谈判结束后，参加磋商的供应商应当对磋商的承诺和最终报价以书面形式确认，并由法定代表人或其授权人签字或者加盖公章（最终报价将作为评审的依据）。已提交响应文件的供应商，在提交最终报价之前，可以根据磋商情况退出磋商。</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6.2 评审方法和标准</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6.2.1评审方法。经磋商确定最终采购需求和提交最终报价的供应商后，由磋商小组采用综合评分法对提交最终报价的供应商的响应文件和最终报价进行综合评分。</w:t>
      </w:r>
    </w:p>
    <w:p>
      <w:pPr>
        <w:snapToGrid w:val="0"/>
        <w:spacing w:line="360" w:lineRule="auto"/>
        <w:ind w:firstLine="480" w:firstLineChars="200"/>
        <w:rPr>
          <w:rFonts w:ascii="仿宋" w:hAnsi="仿宋" w:eastAsia="仿宋" w:cs="仿宋"/>
          <w:bCs/>
          <w:sz w:val="24"/>
        </w:rPr>
      </w:pPr>
      <w:r>
        <w:rPr>
          <w:rFonts w:hint="eastAsia" w:ascii="仿宋" w:hAnsi="仿宋" w:eastAsia="仿宋" w:cs="仿宋"/>
          <w:sz w:val="24"/>
        </w:rPr>
        <w:t>综合评分法，是指响应文件满足采购文件全部实质性要求，且按照评审因素的量化指标评审得分最高的供应商为成交候选人的评审方法。</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6.2.2评审标准</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见本磋商文件第五章规定。</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6.3采购活动终止的情况</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出现下列情形之一的，本次竞争性磋商采购活动将被终止：</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（1）因情况变化，不再符合规定的竞争性磋商采购方式适用情形的；</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 xml:space="preserve">（2）出现影响采购公正的违法、违规行为的； </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（3）除本磋商文件第6.1.2条第三款规定的情形外，在采购过程中符合要求的供应商或者报价未超过采购预算的供应商不足3家的。</w:t>
      </w:r>
    </w:p>
    <w:p>
      <w:pPr>
        <w:pStyle w:val="45"/>
        <w:numPr>
          <w:ilvl w:val="255"/>
          <w:numId w:val="0"/>
        </w:numPr>
        <w:spacing w:line="360" w:lineRule="auto"/>
        <w:jc w:val="both"/>
        <w:textAlignment w:val="baseline"/>
        <w:rPr>
          <w:rFonts w:ascii="仿宋" w:hAnsi="仿宋" w:eastAsia="仿宋" w:cs="仿宋"/>
        </w:rPr>
      </w:pPr>
      <w:bookmarkStart w:id="40" w:name="_Toc19451"/>
      <w:bookmarkStart w:id="41" w:name="_Toc26343"/>
      <w:bookmarkStart w:id="42" w:name="_Toc7849"/>
      <w:bookmarkStart w:id="43" w:name="_Toc21601"/>
      <w:bookmarkStart w:id="44" w:name="_Toc22831"/>
      <w:bookmarkStart w:id="45" w:name="_Toc17634_WPSOffice_Level2"/>
      <w:r>
        <w:rPr>
          <w:rFonts w:hint="eastAsia" w:ascii="仿宋" w:hAnsi="仿宋" w:eastAsia="仿宋" w:cs="仿宋"/>
        </w:rPr>
        <w:t>五、成交</w:t>
      </w:r>
      <w:bookmarkEnd w:id="40"/>
      <w:bookmarkEnd w:id="41"/>
      <w:bookmarkEnd w:id="42"/>
      <w:bookmarkEnd w:id="43"/>
      <w:bookmarkEnd w:id="44"/>
      <w:bookmarkEnd w:id="45"/>
    </w:p>
    <w:p>
      <w:pPr>
        <w:snapToGrid w:val="0"/>
        <w:spacing w:line="360" w:lineRule="auto"/>
        <w:ind w:firstLine="482" w:firstLineChars="200"/>
        <w:textAlignment w:val="baseline"/>
        <w:rPr>
          <w:rFonts w:ascii="仿宋" w:hAnsi="仿宋" w:eastAsia="仿宋" w:cs="仿宋"/>
          <w:b/>
          <w:sz w:val="24"/>
        </w:rPr>
      </w:pPr>
      <w:r>
        <w:rPr>
          <w:rFonts w:hint="eastAsia" w:ascii="仿宋" w:hAnsi="仿宋" w:eastAsia="仿宋" w:cs="仿宋"/>
          <w:b/>
          <w:sz w:val="24"/>
        </w:rPr>
        <w:t>1、确定成交单位</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1.1 磋商小组根据综合评分情况，每个分包按照评审得分由高到低顺序推荐3名成交候选供应商，并编写评审报告。符合本文件第6.1.2条情形的，可以推荐2家成交候选供应商。评审得分相同的，按照最终报价由低到高的顺序推荐。评审得分且最终报价相同的，按照技术指标优劣顺序推荐。如合格磋商响应供应商数量等于拟确定成交的供应商数量，所有合格磋商响应供应商均为成交候选供应商。</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1.2采购人根据磋商小组推荐的成交候选人确定成交供应商。采购人确定成交供应商后，采购代理机构将在</w:t>
      </w:r>
      <w:r>
        <w:rPr>
          <w:rFonts w:hint="eastAsia" w:ascii="仿宋" w:hAnsi="仿宋" w:eastAsia="仿宋" w:cs="仿宋"/>
          <w:bCs/>
          <w:color w:val="000000" w:themeColor="text1"/>
          <w:sz w:val="24"/>
          <w:szCs w:val="24"/>
          <w14:textFill>
            <w14:solidFill>
              <w14:schemeClr w14:val="tx1"/>
            </w14:solidFill>
          </w14:textFill>
        </w:rPr>
        <w:t>“江苏省招标投标公共服务平台（https://www.jszbtb.com/#/newindex）”</w:t>
      </w:r>
      <w:r>
        <w:rPr>
          <w:rFonts w:hint="eastAsia" w:ascii="仿宋" w:hAnsi="仿宋" w:eastAsia="仿宋" w:cs="仿宋"/>
          <w:bCs/>
          <w:sz w:val="24"/>
        </w:rPr>
        <w:t>发布成交结果公告，公告期限为1个工作日。</w:t>
      </w:r>
      <w:r>
        <w:rPr>
          <w:rFonts w:ascii="Times New Roman" w:hAnsi="Times New Roman" w:eastAsia="仿宋" w:cs="Times New Roman"/>
          <w:sz w:val="24"/>
        </w:rPr>
        <w:t>供应商享受中小企业扶持政策的，随中标、成交结果公开中标、成交供应商的《中小企业声明函》。</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1.3若有充分证据证明，成交供应商出现下列情况之一的，一经查实，将被取消成交资格：</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（1）提供虚假材料谋取成交的；</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（2）与评审专家、采购人、其他供应商或者采购代理机构工作人员恶意串通的；</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（3）向评审专家、采购人或采购代理机构工作人员行贿或者提供其他不正当利益的；</w:t>
      </w:r>
    </w:p>
    <w:p>
      <w:pPr>
        <w:snapToGrid w:val="0"/>
        <w:spacing w:line="360" w:lineRule="auto"/>
        <w:ind w:firstLine="480" w:firstLineChars="200"/>
        <w:textAlignment w:val="baseline"/>
        <w:rPr>
          <w:rFonts w:ascii="仿宋" w:hAnsi="仿宋" w:eastAsia="仿宋" w:cs="仿宋"/>
          <w:sz w:val="24"/>
        </w:rPr>
      </w:pPr>
      <w:r>
        <w:rPr>
          <w:rFonts w:hint="eastAsia" w:ascii="仿宋" w:hAnsi="仿宋" w:eastAsia="仿宋" w:cs="仿宋"/>
          <w:bCs/>
          <w:sz w:val="24"/>
        </w:rPr>
        <w:t>（4）</w:t>
      </w:r>
      <w:r>
        <w:rPr>
          <w:rFonts w:hint="eastAsia" w:ascii="仿宋" w:hAnsi="仿宋" w:eastAsia="仿宋" w:cs="仿宋"/>
          <w:sz w:val="24"/>
        </w:rPr>
        <w:t>成交后无正当理由拒不与采购人签订政府采购合同或者未按照磋商文件确定的事项签订政府采购合同；</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（5）</w:t>
      </w:r>
      <w:r>
        <w:rPr>
          <w:rFonts w:hint="eastAsia" w:ascii="仿宋" w:hAnsi="仿宋" w:eastAsia="仿宋" w:cs="仿宋"/>
          <w:sz w:val="24"/>
        </w:rPr>
        <w:t>供应商将政府采购合同违法分包转包的。</w:t>
      </w:r>
    </w:p>
    <w:p>
      <w:pPr>
        <w:snapToGrid w:val="0"/>
        <w:spacing w:line="360" w:lineRule="auto"/>
        <w:ind w:firstLine="482" w:firstLineChars="200"/>
        <w:textAlignment w:val="baseline"/>
        <w:rPr>
          <w:rFonts w:ascii="仿宋" w:hAnsi="仿宋" w:eastAsia="仿宋" w:cs="仿宋"/>
          <w:b/>
          <w:sz w:val="24"/>
        </w:rPr>
      </w:pPr>
      <w:r>
        <w:rPr>
          <w:rFonts w:hint="eastAsia" w:ascii="仿宋" w:hAnsi="仿宋" w:eastAsia="仿宋" w:cs="仿宋"/>
          <w:b/>
          <w:sz w:val="24"/>
        </w:rPr>
        <w:t>2、质疑处理</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2.1参加供应商认为磋商文件、采购过程和采购结果使自己的权益受到损害的，可以在知道或应知其权益受到损害之日起七个工作日内，以书面形式向采购代理机构或采购人提出质疑。上述应知其权益受到损害之日，是指：</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（1）对可以质疑的磋商文件提出质疑的，为收到磋商文件之日或者磋商文件公告期限届满之日；</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（2）对采购过程提出质疑的，为各采购程序环节结束之日；</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（3）对成交结果提出质疑的，为成交结果公告期限届满之日。</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2.2质疑必须按《政府采购法》、《政府采购法实施条例》、中华人民共和国财政部令第94号令《政府采购质疑和投诉办法》的相关规定提交，未按上述要求提交的质疑函（含传真、电子邮件等）</w:t>
      </w:r>
      <w:r>
        <w:rPr>
          <w:rFonts w:hint="eastAsia" w:ascii="仿宋" w:hAnsi="仿宋" w:eastAsia="仿宋" w:cs="仿宋"/>
          <w:sz w:val="24"/>
          <w:szCs w:val="24"/>
        </w:rPr>
        <w:t>采购代理机构有权要求质疑供应商按规定予以修正</w:t>
      </w:r>
      <w:r>
        <w:rPr>
          <w:rFonts w:hint="eastAsia" w:ascii="仿宋" w:hAnsi="仿宋" w:eastAsia="仿宋" w:cs="仿宋"/>
          <w:bCs/>
          <w:sz w:val="24"/>
        </w:rPr>
        <w:t>。</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2.3未参加磋商采购活动的供应商或在磋商采购活动中自身权益未受到损害的供应商所提出的质疑不予受理。</w:t>
      </w:r>
    </w:p>
    <w:p>
      <w:pPr>
        <w:adjustRightInd w:val="0"/>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2.4质疑函应当包括下列内容：</w:t>
      </w:r>
    </w:p>
    <w:p>
      <w:pPr>
        <w:numPr>
          <w:ilvl w:val="0"/>
          <w:numId w:val="4"/>
        </w:numPr>
        <w:adjustRightInd w:val="0"/>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质疑供应商的名称、地址、邮编、联系人、联系电话；</w:t>
      </w:r>
    </w:p>
    <w:p>
      <w:pPr>
        <w:numPr>
          <w:ilvl w:val="0"/>
          <w:numId w:val="4"/>
        </w:numPr>
        <w:adjustRightInd w:val="0"/>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质疑项目的名称、编号；</w:t>
      </w:r>
    </w:p>
    <w:p>
      <w:pPr>
        <w:numPr>
          <w:ilvl w:val="0"/>
          <w:numId w:val="4"/>
        </w:numPr>
        <w:adjustRightInd w:val="0"/>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具体的质疑事项、明确的请求及法律依据；</w:t>
      </w:r>
    </w:p>
    <w:p>
      <w:pPr>
        <w:adjustRightInd w:val="0"/>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（4）认为自己合法权益受到损害或可能受到损害的相关证据材料；</w:t>
      </w:r>
    </w:p>
    <w:p>
      <w:pPr>
        <w:adjustRightInd w:val="0"/>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（5）提起质疑的日期；</w:t>
      </w:r>
    </w:p>
    <w:p>
      <w:pPr>
        <w:adjustRightInd w:val="0"/>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6）质疑函应当署名：质疑人为自然人的，应当由本人签字并附有效身份证明；质疑人为法人或其他组织的，应当由法定代表人签字并加盖单位公章。质疑人委托代理质疑的，应当向采购代理机构提交授权委托书，并载明委托代理的具体权限和事项。</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2.5采购代理机构收到质疑函后，将对质疑的形式和内容进行审查，如质疑函内容、格式不符合规定，采购代理机构可以告知质疑人进行必要的修改和补正。</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2.6质疑人应当在法定质疑期限内进行补正并重新提交质疑函。</w:t>
      </w:r>
    </w:p>
    <w:p>
      <w:pPr>
        <w:adjustRightInd w:val="0"/>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2.7对于内容、格式符合规定的质疑函，采购代理机构将在收到参加供应商的书面质疑后七个工作日内作出答复，并以书面形式通知质疑供应商和其他相关供应商，答复的内容不涉及商业秘密。</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2.8供应商提出书面质疑必须依据事实和法律依据，不得捏造事实进行恶意或虚假质疑。</w:t>
      </w:r>
    </w:p>
    <w:p>
      <w:pPr>
        <w:pStyle w:val="45"/>
        <w:numPr>
          <w:ilvl w:val="255"/>
          <w:numId w:val="0"/>
        </w:numPr>
        <w:spacing w:line="360" w:lineRule="auto"/>
        <w:jc w:val="both"/>
        <w:textAlignment w:val="baseline"/>
        <w:rPr>
          <w:rFonts w:ascii="仿宋" w:hAnsi="仿宋" w:eastAsia="仿宋" w:cs="仿宋"/>
        </w:rPr>
      </w:pPr>
      <w:bookmarkStart w:id="46" w:name="_Toc16562_WPSOffice_Level2"/>
      <w:bookmarkStart w:id="47" w:name="_Toc17966"/>
      <w:bookmarkStart w:id="48" w:name="_Toc19386"/>
      <w:bookmarkStart w:id="49" w:name="_Toc28124"/>
      <w:bookmarkStart w:id="50" w:name="_Toc16008"/>
      <w:bookmarkStart w:id="51" w:name="_Toc20155"/>
      <w:r>
        <w:rPr>
          <w:rFonts w:hint="eastAsia" w:ascii="仿宋" w:hAnsi="仿宋" w:eastAsia="仿宋" w:cs="仿宋"/>
        </w:rPr>
        <w:t>六、合同签订相关事项</w:t>
      </w:r>
      <w:bookmarkEnd w:id="46"/>
      <w:bookmarkEnd w:id="47"/>
      <w:bookmarkEnd w:id="48"/>
      <w:bookmarkEnd w:id="49"/>
      <w:bookmarkEnd w:id="50"/>
      <w:bookmarkEnd w:id="51"/>
    </w:p>
    <w:p>
      <w:pPr>
        <w:snapToGrid w:val="0"/>
        <w:spacing w:line="360" w:lineRule="auto"/>
        <w:ind w:firstLine="482" w:firstLineChars="200"/>
        <w:textAlignment w:val="baseline"/>
        <w:rPr>
          <w:rFonts w:ascii="仿宋" w:hAnsi="仿宋" w:eastAsia="仿宋" w:cs="仿宋"/>
          <w:b/>
          <w:sz w:val="24"/>
        </w:rPr>
      </w:pPr>
      <w:r>
        <w:rPr>
          <w:rFonts w:hint="eastAsia" w:ascii="仿宋" w:hAnsi="仿宋" w:eastAsia="仿宋" w:cs="仿宋"/>
          <w:b/>
          <w:sz w:val="24"/>
        </w:rPr>
        <w:t>1、签订合同</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1.l成交供应商确定后，采购代理机构将向成交供应商发出成交通知书。成交供应商应按成交通知书规定的时间、地点,按照磋商文件确定的事项与采购人签订政府采购合同，且不得迟于成交通知书发出之日起三十日内，由此给采购人造成损失的，成交供应商还应承担赔偿责任。</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1.2 磋商文件、成交供应商的响应文件及磋商采购过程中有关澄清、承诺文件均应作为合同附件。</w:t>
      </w:r>
    </w:p>
    <w:p>
      <w:pPr>
        <w:snapToGrid w:val="0"/>
        <w:spacing w:line="360" w:lineRule="auto"/>
        <w:ind w:firstLine="480" w:firstLineChars="200"/>
        <w:textAlignment w:val="baseline"/>
        <w:rPr>
          <w:rFonts w:ascii="仿宋" w:hAnsi="仿宋" w:eastAsia="仿宋" w:cs="仿宋"/>
          <w:bCs/>
          <w:sz w:val="24"/>
        </w:rPr>
      </w:pPr>
      <w:r>
        <w:rPr>
          <w:rFonts w:hint="eastAsia" w:ascii="仿宋" w:hAnsi="仿宋" w:eastAsia="仿宋" w:cs="仿宋"/>
          <w:bCs/>
          <w:sz w:val="24"/>
        </w:rPr>
        <w:t>1.3 签订合同后，成交供应商不得将成交产品或服务进行转包。未经采购人同意，成交供应商也不得采用分包的形式履行合同，否则采购人有权终止合同。转包或分包造成采购人损失的，成交供应商应承担相应赔偿责任。</w:t>
      </w:r>
    </w:p>
    <w:p>
      <w:pPr>
        <w:snapToGrid w:val="0"/>
        <w:spacing w:line="360" w:lineRule="auto"/>
        <w:ind w:firstLine="482" w:firstLineChars="200"/>
        <w:textAlignment w:val="baseline"/>
        <w:rPr>
          <w:rFonts w:ascii="Times New Roman" w:hAnsi="Times New Roman" w:eastAsia="仿宋" w:cs="Times New Roman"/>
          <w:b/>
          <w:sz w:val="24"/>
        </w:rPr>
      </w:pPr>
      <w:r>
        <w:rPr>
          <w:rFonts w:ascii="Times New Roman" w:hAnsi="Times New Roman" w:eastAsia="仿宋" w:cs="Times New Roman"/>
          <w:b/>
          <w:bCs/>
          <w:sz w:val="24"/>
        </w:rPr>
        <w:t>2、</w:t>
      </w:r>
      <w:r>
        <w:rPr>
          <w:rFonts w:ascii="Times New Roman" w:hAnsi="Times New Roman" w:eastAsia="仿宋" w:cs="Times New Roman"/>
          <w:b/>
          <w:sz w:val="24"/>
        </w:rPr>
        <w:t>货物和服务的追加、减少和添购</w:t>
      </w:r>
    </w:p>
    <w:p>
      <w:pPr>
        <w:spacing w:line="360" w:lineRule="auto"/>
        <w:ind w:firstLine="465" w:firstLineChars="194"/>
        <w:textAlignment w:val="baseline"/>
        <w:rPr>
          <w:rFonts w:ascii="Times New Roman" w:hAnsi="Times New Roman" w:eastAsia="仿宋" w:cs="Times New Roman"/>
          <w:iCs/>
          <w:sz w:val="24"/>
        </w:rPr>
      </w:pPr>
      <w:r>
        <w:rPr>
          <w:rFonts w:hint="eastAsia" w:ascii="仿宋" w:hAnsi="仿宋" w:eastAsia="仿宋" w:cs="仿宋"/>
          <w:iCs/>
          <w:sz w:val="24"/>
        </w:rPr>
        <w:t>2.1</w:t>
      </w:r>
      <w:r>
        <w:rPr>
          <w:rFonts w:ascii="Times New Roman" w:hAnsi="Times New Roman" w:eastAsia="仿宋" w:cs="Times New Roman"/>
          <w:iCs/>
          <w:sz w:val="24"/>
        </w:rPr>
        <w:t>政府采购合同履行中，采购人需追加与合同标的相同的货物或服务的，在不改变合同其他条款的前提下，可以与供应商协商签订补充合同，但所有补充合同的采购金额不超过原合同金额10%。</w:t>
      </w:r>
    </w:p>
    <w:p>
      <w:pPr>
        <w:spacing w:line="500" w:lineRule="exact"/>
        <w:ind w:firstLine="480" w:firstLineChars="200"/>
        <w:textAlignment w:val="baseline"/>
        <w:rPr>
          <w:rFonts w:ascii="仿宋" w:hAnsi="仿宋" w:eastAsia="仿宋" w:cs="仿宋"/>
          <w:b/>
          <w:iCs/>
          <w:sz w:val="20"/>
        </w:rPr>
      </w:pPr>
      <w:r>
        <w:rPr>
          <w:rFonts w:hint="eastAsia" w:ascii="仿宋" w:hAnsi="仿宋" w:eastAsia="仿宋" w:cs="仿宋"/>
          <w:iCs/>
          <w:sz w:val="24"/>
        </w:rPr>
        <w:t>2.2</w:t>
      </w:r>
      <w:r>
        <w:rPr>
          <w:rFonts w:ascii="Times New Roman" w:hAnsi="Times New Roman" w:eastAsia="仿宋" w:cs="Times New Roman"/>
          <w:iCs/>
          <w:sz w:val="24"/>
        </w:rPr>
        <w:t>采购结束后，采购人若由于各种客观原因，必须对采购项目所牵涉的货物或服务进行适当的减少时，在双方协商一致的前提下，可以按照磋商采购时的价格水平做相应的调减，并据此签订补充合同</w:t>
      </w:r>
      <w:r>
        <w:rPr>
          <w:rFonts w:hint="eastAsia" w:ascii="仿宋" w:hAnsi="仿宋" w:eastAsia="仿宋" w:cs="仿宋"/>
          <w:iCs/>
          <w:color w:val="000000" w:themeColor="text1"/>
          <w:sz w:val="24"/>
          <w14:textFill>
            <w14:solidFill>
              <w14:schemeClr w14:val="tx1"/>
            </w14:solidFill>
          </w14:textFill>
        </w:rPr>
        <w:t>。</w:t>
      </w:r>
    </w:p>
    <w:p>
      <w:pPr>
        <w:spacing w:line="360" w:lineRule="auto"/>
        <w:ind w:firstLine="467" w:firstLineChars="194"/>
        <w:textAlignment w:val="baseline"/>
        <w:rPr>
          <w:rFonts w:ascii="仿宋" w:hAnsi="仿宋" w:eastAsia="仿宋" w:cs="仿宋"/>
          <w:b/>
          <w:bCs/>
          <w:iCs/>
          <w:sz w:val="24"/>
        </w:rPr>
      </w:pPr>
    </w:p>
    <w:p>
      <w:pPr>
        <w:spacing w:line="360" w:lineRule="auto"/>
        <w:textAlignment w:val="baseline"/>
        <w:rPr>
          <w:rFonts w:ascii="仿宋" w:hAnsi="仿宋" w:eastAsia="仿宋" w:cs="仿宋"/>
          <w:b/>
          <w:bCs/>
          <w:iCs/>
          <w:sz w:val="24"/>
        </w:rPr>
      </w:pPr>
    </w:p>
    <w:p>
      <w:pPr>
        <w:pStyle w:val="42"/>
        <w:pageBreakBefore/>
        <w:spacing w:after="312" w:line="360" w:lineRule="auto"/>
        <w:textAlignment w:val="baseline"/>
        <w:rPr>
          <w:rFonts w:ascii="仿宋" w:hAnsi="仿宋" w:eastAsia="仿宋" w:cs="仿宋"/>
          <w:color w:val="000000"/>
          <w:sz w:val="40"/>
        </w:rPr>
      </w:pPr>
      <w:bookmarkStart w:id="52" w:name="_Toc16499"/>
      <w:bookmarkStart w:id="53" w:name="_Toc25170481"/>
      <w:bookmarkStart w:id="54" w:name="_Toc11425"/>
      <w:bookmarkStart w:id="55" w:name="_Toc21725"/>
      <w:bookmarkStart w:id="56" w:name="_Toc14553"/>
      <w:bookmarkStart w:id="57" w:name="_Toc12478"/>
      <w:bookmarkStart w:id="58" w:name="_Toc13783"/>
      <w:bookmarkStart w:id="59" w:name="_Toc32263"/>
      <w:bookmarkStart w:id="60" w:name="_Toc324237148"/>
      <w:bookmarkStart w:id="61" w:name="_Toc49090575"/>
      <w:bookmarkStart w:id="62" w:name="_Toc120614281"/>
      <w:bookmarkStart w:id="63" w:name="_Toc26554093"/>
      <w:r>
        <w:rPr>
          <w:rFonts w:hint="eastAsia" w:ascii="仿宋" w:hAnsi="仿宋" w:eastAsia="仿宋" w:cs="仿宋"/>
          <w:color w:val="000000"/>
          <w:sz w:val="40"/>
        </w:rPr>
        <w:t xml:space="preserve">第三章  </w:t>
      </w:r>
      <w:bookmarkEnd w:id="52"/>
      <w:r>
        <w:rPr>
          <w:rFonts w:hint="eastAsia" w:ascii="仿宋" w:hAnsi="仿宋" w:eastAsia="仿宋" w:cs="仿宋"/>
          <w:color w:val="000000"/>
          <w:sz w:val="40"/>
        </w:rPr>
        <w:t>合同条款及格式</w:t>
      </w:r>
      <w:bookmarkEnd w:id="53"/>
      <w:bookmarkEnd w:id="54"/>
      <w:bookmarkEnd w:id="55"/>
      <w:bookmarkEnd w:id="56"/>
      <w:bookmarkEnd w:id="57"/>
      <w:bookmarkEnd w:id="58"/>
    </w:p>
    <w:p>
      <w:pPr>
        <w:wordWrap w:val="0"/>
        <w:autoSpaceDE w:val="0"/>
        <w:autoSpaceDN w:val="0"/>
        <w:adjustRightInd w:val="0"/>
        <w:snapToGrid w:val="0"/>
        <w:spacing w:line="360" w:lineRule="auto"/>
        <w:ind w:firstLine="360" w:firstLineChars="150"/>
        <w:rPr>
          <w:rFonts w:ascii="仿宋" w:hAnsi="仿宋" w:eastAsia="仿宋" w:cs="仿宋"/>
          <w:sz w:val="24"/>
          <w:szCs w:val="24"/>
        </w:rPr>
      </w:pPr>
      <w:bookmarkStart w:id="64" w:name="_Toc16938559"/>
      <w:bookmarkStart w:id="65" w:name="_Toc20823315"/>
      <w:bookmarkStart w:id="66" w:name="_Toc513029243"/>
      <w:r>
        <w:rPr>
          <w:rFonts w:hint="eastAsia" w:ascii="仿宋" w:hAnsi="仿宋" w:eastAsia="仿宋" w:cs="仿宋"/>
          <w:sz w:val="24"/>
          <w:szCs w:val="24"/>
        </w:rPr>
        <w:t>以下为成交后签定本项目合同的通用条款，采购当事人不得提出实质性的修改，关于专用条款将由采购人与成交供应商结合本项目具体情况协商后签订。</w:t>
      </w:r>
    </w:p>
    <w:bookmarkEnd w:id="64"/>
    <w:bookmarkEnd w:id="65"/>
    <w:bookmarkEnd w:id="66"/>
    <w:p>
      <w:pPr>
        <w:wordWrap w:val="0"/>
        <w:autoSpaceDE w:val="0"/>
        <w:autoSpaceDN w:val="0"/>
        <w:adjustRightInd w:val="0"/>
        <w:snapToGrid w:val="0"/>
        <w:spacing w:line="360" w:lineRule="auto"/>
        <w:ind w:firstLine="360" w:firstLineChars="150"/>
        <w:rPr>
          <w:rFonts w:ascii="仿宋" w:hAnsi="仿宋" w:eastAsia="仿宋" w:cs="仿宋"/>
          <w:sz w:val="24"/>
          <w:szCs w:val="24"/>
        </w:rPr>
      </w:pPr>
      <w:r>
        <w:rPr>
          <w:rFonts w:hint="eastAsia" w:ascii="仿宋" w:hAnsi="仿宋" w:eastAsia="仿宋" w:cs="仿宋"/>
          <w:sz w:val="24"/>
          <w:szCs w:val="24"/>
        </w:rPr>
        <w:t>项目名称：                                       项目编号：</w:t>
      </w:r>
    </w:p>
    <w:p>
      <w:pPr>
        <w:wordWrap w:val="0"/>
        <w:autoSpaceDE w:val="0"/>
        <w:autoSpaceDN w:val="0"/>
        <w:adjustRightInd w:val="0"/>
        <w:snapToGrid w:val="0"/>
        <w:spacing w:line="360" w:lineRule="auto"/>
        <w:ind w:firstLine="360" w:firstLineChars="150"/>
        <w:rPr>
          <w:rFonts w:ascii="仿宋" w:hAnsi="仿宋" w:eastAsia="仿宋" w:cs="仿宋"/>
          <w:sz w:val="24"/>
          <w:szCs w:val="24"/>
        </w:rPr>
      </w:pPr>
      <w:r>
        <w:rPr>
          <w:rFonts w:hint="eastAsia" w:ascii="仿宋" w:hAnsi="仿宋" w:eastAsia="仿宋" w:cs="仿宋"/>
          <w:sz w:val="24"/>
          <w:szCs w:val="24"/>
        </w:rPr>
        <w:t>甲方：（采购人）_________</w:t>
      </w:r>
    </w:p>
    <w:p>
      <w:pPr>
        <w:wordWrap w:val="0"/>
        <w:autoSpaceDE w:val="0"/>
        <w:autoSpaceDN w:val="0"/>
        <w:adjustRightInd w:val="0"/>
        <w:snapToGrid w:val="0"/>
        <w:spacing w:line="360" w:lineRule="auto"/>
        <w:ind w:firstLine="360" w:firstLineChars="150"/>
        <w:rPr>
          <w:rFonts w:ascii="仿宋" w:hAnsi="仿宋" w:eastAsia="仿宋" w:cs="仿宋"/>
          <w:sz w:val="24"/>
          <w:szCs w:val="24"/>
        </w:rPr>
      </w:pPr>
      <w:r>
        <w:rPr>
          <w:rFonts w:hint="eastAsia" w:ascii="仿宋" w:hAnsi="仿宋" w:eastAsia="仿宋" w:cs="仿宋"/>
          <w:sz w:val="24"/>
          <w:szCs w:val="24"/>
        </w:rPr>
        <w:t>乙方：（供应商）_________</w:t>
      </w:r>
    </w:p>
    <w:p>
      <w:pPr>
        <w:wordWrap w:val="0"/>
        <w:autoSpaceDE w:val="0"/>
        <w:autoSpaceDN w:val="0"/>
        <w:adjustRightInd w:val="0"/>
        <w:snapToGrid w:val="0"/>
        <w:spacing w:line="360" w:lineRule="auto"/>
        <w:ind w:firstLine="360" w:firstLineChars="150"/>
        <w:rPr>
          <w:rFonts w:ascii="仿宋" w:hAnsi="仿宋" w:eastAsia="仿宋" w:cs="仿宋"/>
          <w:sz w:val="24"/>
          <w:szCs w:val="24"/>
        </w:rPr>
      </w:pPr>
      <w:r>
        <w:rPr>
          <w:rFonts w:hint="eastAsia" w:ascii="仿宋" w:hAnsi="仿宋" w:eastAsia="仿宋" w:cs="仿宋"/>
          <w:sz w:val="24"/>
          <w:szCs w:val="24"/>
        </w:rPr>
        <w:t>见证方：南京达琛鑫工程咨询有限公司</w:t>
      </w:r>
    </w:p>
    <w:p>
      <w:pPr>
        <w:numPr>
          <w:ilvl w:val="0"/>
          <w:numId w:val="5"/>
        </w:num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乙双方根据南京达琛鑫工程咨询有限公司关于[ 项目编号 ]的[ 项目名称 ]竞争性磋商的结果，根据《中华人民共和国政府采购法》、《中华人民共和国民法典》的规定，达成如下合同，并由双方共同恪守。</w:t>
      </w:r>
    </w:p>
    <w:p>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1．合同文件</w:t>
      </w:r>
    </w:p>
    <w:p>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下列关于南京达琛鑫工程咨询有限公司NJDCX-202311220826编号的竞争性磋商文件、响应文件是构成本合同不可分割的部分：</w:t>
      </w:r>
    </w:p>
    <w:p>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（1）合同条款；</w:t>
      </w:r>
    </w:p>
    <w:p>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（2）</w:t>
      </w:r>
      <w:r>
        <w:rPr>
          <w:rFonts w:hint="eastAsia" w:ascii="仿宋" w:hAnsi="仿宋" w:eastAsia="仿宋" w:cs="仿宋"/>
          <w:sz w:val="24"/>
        </w:rPr>
        <w:t>采购文件、</w:t>
      </w:r>
      <w:r>
        <w:rPr>
          <w:rFonts w:hint="eastAsia" w:ascii="仿宋" w:hAnsi="仿宋" w:eastAsia="仿宋" w:cs="仿宋"/>
          <w:bCs/>
          <w:sz w:val="24"/>
        </w:rPr>
        <w:t>成交供应商提交的响应文件；</w:t>
      </w:r>
    </w:p>
    <w:p>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（3）成交通知书；</w:t>
      </w:r>
    </w:p>
    <w:p>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（4）采购人、成交供应商和见证方商定的其他必要文件。</w:t>
      </w:r>
    </w:p>
    <w:p>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合同文件是一个整体，其内容互为补充。如有意义不明确，由采购人和见证方负责解释。</w:t>
      </w:r>
    </w:p>
    <w:p>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2．合同范围和条件</w:t>
      </w:r>
    </w:p>
    <w:p>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本合同的范围和条件应与上述合同文件的规定相一致。</w:t>
      </w:r>
    </w:p>
    <w:p>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3．合同内容</w:t>
      </w:r>
    </w:p>
    <w:p>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本合同所涉及的内容详见竞争性磋商文件和合同条款。专用条款将由采购人与成交供应商结合本项目具体情况协商后签订。</w:t>
      </w:r>
    </w:p>
    <w:p>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4．合同金额</w:t>
      </w:r>
    </w:p>
    <w:p>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根据上述合同文件要求，合同总金额（大写）为</w:t>
      </w:r>
      <w:r>
        <w:rPr>
          <w:rFonts w:hint="eastAsia" w:ascii="仿宋" w:hAnsi="仿宋" w:eastAsia="仿宋" w:cs="仿宋"/>
          <w:bCs/>
          <w:sz w:val="24"/>
          <w:u w:val="single"/>
        </w:rPr>
        <w:t xml:space="preserve">           </w:t>
      </w:r>
      <w:r>
        <w:rPr>
          <w:rFonts w:hint="eastAsia" w:ascii="仿宋" w:hAnsi="仿宋" w:eastAsia="仿宋" w:cs="仿宋"/>
          <w:bCs/>
          <w:sz w:val="24"/>
        </w:rPr>
        <w:t>，分项价格在报价表中有明确规定。合同执行过程中，如涉及合同总金额调整，需经采购人和磋商供应商共同协商一致，签订书面的补充协议确定。</w:t>
      </w:r>
    </w:p>
    <w:p>
      <w:pPr>
        <w:snapToGrid w:val="0"/>
        <w:spacing w:line="360" w:lineRule="auto"/>
        <w:ind w:firstLine="482" w:firstLineChars="200"/>
        <w:rPr>
          <w:rFonts w:ascii="仿宋" w:hAnsi="仿宋" w:eastAsia="仿宋" w:cs="仿宋"/>
          <w:b/>
          <w:sz w:val="24"/>
        </w:rPr>
      </w:pPr>
      <w:bookmarkStart w:id="67" w:name="_Toc24634"/>
      <w:bookmarkStart w:id="68" w:name="_Toc13842"/>
      <w:bookmarkStart w:id="69" w:name="_Toc19590"/>
      <w:r>
        <w:rPr>
          <w:rFonts w:hint="eastAsia" w:ascii="仿宋" w:hAnsi="仿宋" w:eastAsia="仿宋" w:cs="仿宋"/>
          <w:b/>
          <w:sz w:val="24"/>
        </w:rPr>
        <w:t>5．付款方式</w:t>
      </w:r>
    </w:p>
    <w:p>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合同签订后支付50%合同款，服务期满前支付50%（根据政策调整，甲方可终止第二年服务合同，服务费用按照实际服务月份结算）</w:t>
      </w:r>
    </w:p>
    <w:p>
      <w:pPr>
        <w:spacing w:line="360" w:lineRule="auto"/>
        <w:ind w:firstLine="482" w:firstLineChars="200"/>
        <w:rPr>
          <w:rFonts w:ascii="仿宋" w:hAnsi="仿宋" w:eastAsia="仿宋" w:cs="仿宋"/>
          <w:bCs/>
          <w:sz w:val="24"/>
          <w:szCs w:val="24"/>
        </w:rPr>
      </w:pPr>
      <w:r>
        <w:rPr>
          <w:rFonts w:hint="eastAsia" w:ascii="仿宋" w:hAnsi="仿宋" w:eastAsia="仿宋" w:cs="仿宋"/>
          <w:b/>
          <w:sz w:val="24"/>
          <w:szCs w:val="24"/>
        </w:rPr>
        <w:t>6.服务期限：</w:t>
      </w:r>
      <w:r>
        <w:rPr>
          <w:rFonts w:hint="eastAsia" w:ascii="仿宋" w:hAnsi="仿宋" w:eastAsia="仿宋" w:cs="仿宋"/>
          <w:sz w:val="24"/>
          <w:szCs w:val="24"/>
        </w:rPr>
        <w:t>本合同实施时间详见项目需求，项目实施地点：按采购人要求实施。</w:t>
      </w:r>
    </w:p>
    <w:p>
      <w:pPr>
        <w:spacing w:line="360" w:lineRule="auto"/>
        <w:ind w:firstLine="482" w:firstLineChars="200"/>
        <w:rPr>
          <w:rFonts w:ascii="仿宋" w:hAnsi="仿宋" w:eastAsia="仿宋" w:cs="仿宋"/>
          <w:b/>
          <w:sz w:val="24"/>
          <w:szCs w:val="24"/>
        </w:rPr>
      </w:pPr>
      <w:r>
        <w:rPr>
          <w:rFonts w:hint="eastAsia" w:ascii="仿宋" w:hAnsi="仿宋" w:eastAsia="仿宋" w:cs="仿宋"/>
          <w:b/>
          <w:sz w:val="24"/>
          <w:szCs w:val="24"/>
        </w:rPr>
        <w:t>7.合同纠纷处理</w:t>
      </w:r>
    </w:p>
    <w:p>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本合同履行过程中发生的合同纠纷，由甲乙双方联系处理。</w:t>
      </w:r>
    </w:p>
    <w:p>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8．合同生效</w:t>
      </w:r>
    </w:p>
    <w:p>
      <w:pPr>
        <w:pStyle w:val="2"/>
        <w:spacing w:line="360" w:lineRule="auto"/>
        <w:ind w:firstLine="480" w:firstLineChars="200"/>
        <w:rPr>
          <w:rFonts w:ascii="仿宋" w:hAnsi="仿宋" w:eastAsia="仿宋" w:cs="仿宋"/>
          <w:bCs/>
          <w:kern w:val="2"/>
          <w:sz w:val="24"/>
          <w:lang w:val="en-US" w:bidi="ar-SA"/>
        </w:rPr>
      </w:pPr>
      <w:r>
        <w:rPr>
          <w:rFonts w:hint="eastAsia" w:ascii="仿宋" w:hAnsi="仿宋" w:eastAsia="仿宋" w:cs="仿宋"/>
          <w:bCs/>
          <w:kern w:val="2"/>
          <w:sz w:val="24"/>
          <w:lang w:val="en-US" w:bidi="ar-SA"/>
        </w:rPr>
        <w:t>本合同经甲方、乙方和见证方三方授权代表签字盖章，并在见证方收到乙方提交的质量保</w:t>
      </w:r>
    </w:p>
    <w:p>
      <w:pPr>
        <w:pStyle w:val="2"/>
        <w:spacing w:line="360" w:lineRule="auto"/>
        <w:rPr>
          <w:rFonts w:ascii="仿宋" w:hAnsi="仿宋" w:eastAsia="仿宋" w:cs="仿宋"/>
          <w:bCs/>
          <w:kern w:val="2"/>
          <w:sz w:val="24"/>
          <w:lang w:val="en-US" w:bidi="ar-SA"/>
        </w:rPr>
      </w:pPr>
      <w:r>
        <w:rPr>
          <w:rFonts w:hint="eastAsia" w:ascii="仿宋" w:hAnsi="仿宋" w:eastAsia="仿宋" w:cs="仿宋"/>
          <w:bCs/>
          <w:kern w:val="2"/>
          <w:sz w:val="24"/>
          <w:lang w:val="en-US" w:bidi="ar-SA"/>
        </w:rPr>
        <w:t>证金后生效。</w:t>
      </w:r>
    </w:p>
    <w:p>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9.诉讼</w:t>
      </w:r>
      <w:bookmarkEnd w:id="67"/>
    </w:p>
    <w:p>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双方在执行合同中所发生的一切争议，应通过协商解决。如协商不成，可向合同签订地法院起诉，合同签订地在此约定为南京市。</w:t>
      </w:r>
      <w:bookmarkStart w:id="70" w:name="_Toc21029"/>
    </w:p>
    <w:p>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10.其它</w:t>
      </w:r>
      <w:bookmarkEnd w:id="70"/>
    </w:p>
    <w:p>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10.1本合同未尽事宜，双方协商解决。</w:t>
      </w:r>
    </w:p>
    <w:p>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10.2本合同一式叁份，具有同等法律效力，甲方、乙方及代理机构各执一份。</w:t>
      </w:r>
      <w:bookmarkEnd w:id="68"/>
      <w:bookmarkEnd w:id="69"/>
    </w:p>
    <w:p>
      <w:pPr>
        <w:tabs>
          <w:tab w:val="left" w:pos="900"/>
        </w:tabs>
        <w:spacing w:after="156" w:afterLines="50" w:line="400" w:lineRule="exact"/>
        <w:ind w:firstLine="477" w:firstLineChars="199"/>
        <w:rPr>
          <w:rFonts w:ascii="仿宋" w:hAnsi="仿宋" w:eastAsia="仿宋" w:cs="仿宋"/>
          <w:b/>
          <w:bCs/>
          <w:sz w:val="24"/>
        </w:rPr>
      </w:pPr>
      <w:r>
        <w:rPr>
          <w:rFonts w:hint="eastAsia" w:ascii="仿宋" w:hAnsi="仿宋" w:eastAsia="仿宋" w:cs="仿宋"/>
          <w:sz w:val="24"/>
        </w:rPr>
        <w:t xml:space="preserve">                         </w:t>
      </w:r>
    </w:p>
    <w:p>
      <w:pPr>
        <w:tabs>
          <w:tab w:val="left" w:pos="900"/>
        </w:tabs>
        <w:spacing w:after="156" w:afterLines="50" w:line="400" w:lineRule="exact"/>
        <w:ind w:firstLine="479" w:firstLineChars="199"/>
        <w:rPr>
          <w:rFonts w:ascii="仿宋" w:hAnsi="仿宋" w:eastAsia="仿宋" w:cs="仿宋"/>
          <w:b/>
          <w:bCs/>
          <w:sz w:val="24"/>
          <w:szCs w:val="24"/>
        </w:rPr>
      </w:pPr>
      <w:r>
        <w:rPr>
          <w:rFonts w:hint="eastAsia" w:ascii="仿宋" w:hAnsi="仿宋" w:eastAsia="仿宋" w:cs="仿宋"/>
          <w:b/>
          <w:bCs/>
          <w:sz w:val="24"/>
        </w:rPr>
        <w:t>采购人声明：本合同标的经采购代理机构依法定程序采购，合同主要条款内容与采购文件的内容一致</w:t>
      </w:r>
      <w:r>
        <w:rPr>
          <w:rFonts w:hint="eastAsia" w:ascii="仿宋" w:hAnsi="仿宋" w:eastAsia="仿宋" w:cs="仿宋"/>
          <w:b/>
          <w:bCs/>
          <w:sz w:val="24"/>
          <w:szCs w:val="24"/>
        </w:rPr>
        <w:t>。</w:t>
      </w:r>
    </w:p>
    <w:p>
      <w:pPr>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代理机构：南京达琛鑫工程咨询有限公司（盖章）</w:t>
      </w:r>
    </w:p>
    <w:p>
      <w:pPr>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地  址：南京秦淮区光华东街6号世界之窗创意产业园15号楼4楼</w:t>
      </w:r>
    </w:p>
    <w:p>
      <w:pPr>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经办人：王工</w:t>
      </w:r>
    </w:p>
    <w:p>
      <w:pPr>
        <w:spacing w:line="360" w:lineRule="auto"/>
        <w:ind w:firstLine="482" w:firstLineChars="200"/>
        <w:rPr>
          <w:rFonts w:ascii="仿宋" w:hAnsi="仿宋" w:eastAsia="仿宋" w:cs="仿宋"/>
          <w:b/>
          <w:bCs/>
          <w:sz w:val="24"/>
          <w:szCs w:val="24"/>
        </w:rPr>
      </w:pPr>
    </w:p>
    <w:p>
      <w:pPr>
        <w:spacing w:line="360" w:lineRule="auto"/>
        <w:ind w:firstLine="482" w:firstLineChars="200"/>
        <w:rPr>
          <w:rFonts w:ascii="仿宋" w:hAnsi="仿宋" w:eastAsia="仿宋" w:cs="仿宋"/>
          <w:b/>
          <w:bCs/>
          <w:sz w:val="24"/>
          <w:szCs w:val="24"/>
        </w:rPr>
      </w:pPr>
    </w:p>
    <w:p>
      <w:pPr>
        <w:spacing w:line="360" w:lineRule="auto"/>
        <w:ind w:firstLine="6000" w:firstLineChars="2500"/>
        <w:rPr>
          <w:rFonts w:ascii="仿宋" w:hAnsi="仿宋" w:eastAsia="仿宋" w:cs="仿宋"/>
          <w:sz w:val="24"/>
          <w:szCs w:val="24"/>
        </w:rPr>
      </w:pPr>
      <w:r>
        <w:rPr>
          <w:rFonts w:hint="eastAsia" w:ascii="仿宋" w:hAnsi="仿宋" w:eastAsia="仿宋" w:cs="仿宋"/>
          <w:sz w:val="24"/>
          <w:szCs w:val="24"/>
        </w:rPr>
        <w:t>2023年  月  日</w:t>
      </w:r>
    </w:p>
    <w:p>
      <w:pPr>
        <w:spacing w:line="520" w:lineRule="exact"/>
        <w:textAlignment w:val="baseline"/>
        <w:rPr>
          <w:b/>
          <w:sz w:val="24"/>
          <w:szCs w:val="24"/>
        </w:rPr>
      </w:pPr>
    </w:p>
    <w:p>
      <w:pPr>
        <w:spacing w:line="520" w:lineRule="exact"/>
        <w:textAlignment w:val="baseline"/>
        <w:rPr>
          <w:b/>
          <w:sz w:val="24"/>
          <w:szCs w:val="24"/>
        </w:rPr>
      </w:pPr>
    </w:p>
    <w:p>
      <w:pPr>
        <w:pStyle w:val="42"/>
        <w:pageBreakBefore/>
        <w:spacing w:after="312" w:line="360" w:lineRule="auto"/>
        <w:textAlignment w:val="baseline"/>
        <w:rPr>
          <w:rFonts w:ascii="仿宋" w:hAnsi="仿宋" w:eastAsia="仿宋" w:cs="仿宋"/>
          <w:color w:val="000000"/>
          <w:sz w:val="40"/>
        </w:rPr>
      </w:pPr>
      <w:bookmarkStart w:id="71" w:name="_Toc3659"/>
      <w:bookmarkStart w:id="72" w:name="_Toc15751"/>
      <w:bookmarkStart w:id="73" w:name="_Toc17895"/>
      <w:bookmarkStart w:id="74" w:name="_Toc25170482"/>
      <w:bookmarkStart w:id="75" w:name="_Toc18016"/>
      <w:r>
        <w:rPr>
          <w:rFonts w:hint="eastAsia" w:ascii="仿宋" w:hAnsi="仿宋" w:eastAsia="仿宋" w:cs="仿宋"/>
          <w:color w:val="000000"/>
          <w:sz w:val="40"/>
        </w:rPr>
        <w:t>第四章  项目需求</w:t>
      </w:r>
      <w:bookmarkEnd w:id="59"/>
      <w:bookmarkEnd w:id="60"/>
      <w:bookmarkEnd w:id="71"/>
      <w:bookmarkEnd w:id="72"/>
      <w:bookmarkEnd w:id="73"/>
      <w:bookmarkEnd w:id="74"/>
      <w:bookmarkEnd w:id="75"/>
      <w:bookmarkStart w:id="76" w:name="_Toc324237156"/>
      <w:bookmarkStart w:id="77" w:name="_Toc18960"/>
    </w:p>
    <w:p>
      <w:pPr>
        <w:keepNext/>
        <w:keepLines/>
        <w:autoSpaceDE w:val="0"/>
        <w:autoSpaceDN w:val="0"/>
        <w:adjustRightInd w:val="0"/>
        <w:spacing w:line="360" w:lineRule="auto"/>
        <w:ind w:firstLine="562" w:firstLineChars="200"/>
        <w:outlineLvl w:val="1"/>
        <w:rPr>
          <w:rFonts w:ascii="仿宋" w:hAnsi="仿宋" w:eastAsia="仿宋" w:cs="仿宋"/>
          <w:b/>
          <w:bCs/>
          <w:sz w:val="28"/>
          <w:szCs w:val="28"/>
        </w:rPr>
      </w:pPr>
      <w:r>
        <w:rPr>
          <w:rFonts w:hint="eastAsia" w:ascii="仿宋" w:hAnsi="仿宋" w:eastAsia="仿宋" w:cs="仿宋"/>
          <w:b/>
          <w:bCs/>
          <w:sz w:val="28"/>
          <w:szCs w:val="28"/>
        </w:rPr>
        <w:t>一、项目总体要求</w:t>
      </w:r>
    </w:p>
    <w:p>
      <w:pPr>
        <w:spacing w:line="360" w:lineRule="auto"/>
        <w:ind w:firstLine="482" w:firstLineChars="200"/>
        <w:textAlignment w:val="baseline"/>
        <w:rPr>
          <w:rFonts w:ascii="仿宋" w:hAnsi="仿宋" w:eastAsia="仿宋" w:cs="仿宋"/>
          <w:b/>
          <w:sz w:val="24"/>
          <w:szCs w:val="24"/>
        </w:rPr>
      </w:pPr>
      <w:r>
        <w:rPr>
          <w:rFonts w:hint="eastAsia" w:ascii="仿宋" w:hAnsi="仿宋" w:eastAsia="仿宋" w:cs="仿宋"/>
          <w:b/>
          <w:sz w:val="24"/>
          <w:szCs w:val="24"/>
        </w:rPr>
        <w:t>1、项目目标</w:t>
      </w:r>
    </w:p>
    <w:p>
      <w:pPr>
        <w:spacing w:line="360" w:lineRule="auto"/>
        <w:ind w:firstLine="480" w:firstLineChars="200"/>
        <w:textAlignment w:val="baseline"/>
        <w:rPr>
          <w:rFonts w:ascii="仿宋" w:hAnsi="仿宋" w:eastAsia="仿宋" w:cs="仿宋"/>
          <w:bCs/>
          <w:sz w:val="24"/>
          <w:szCs w:val="24"/>
        </w:rPr>
      </w:pPr>
      <w:r>
        <w:rPr>
          <w:rFonts w:hint="eastAsia" w:ascii="仿宋" w:hAnsi="仿宋" w:eastAsia="仿宋" w:cs="仿宋"/>
          <w:bCs/>
          <w:sz w:val="24"/>
          <w:szCs w:val="24"/>
        </w:rPr>
        <w:t>人事管理系统维护服务项目的总体目标是，提供有效的人事管理系统运维服务，提高运维服务质量，进一步保障人事管理系统及其相关业务的稳定运行。通过人事管理系统维护服务项目，达到以下目标：</w:t>
      </w:r>
    </w:p>
    <w:p>
      <w:pPr>
        <w:spacing w:line="360" w:lineRule="auto"/>
        <w:ind w:firstLine="480" w:firstLineChars="200"/>
        <w:textAlignment w:val="baseline"/>
        <w:rPr>
          <w:rFonts w:ascii="仿宋" w:hAnsi="仿宋" w:eastAsia="仿宋" w:cs="仿宋"/>
          <w:bCs/>
          <w:sz w:val="24"/>
          <w:szCs w:val="24"/>
        </w:rPr>
      </w:pPr>
      <w:r>
        <w:rPr>
          <w:rFonts w:hint="eastAsia" w:ascii="仿宋" w:hAnsi="仿宋" w:eastAsia="仿宋" w:cs="仿宋"/>
          <w:bCs/>
          <w:sz w:val="24"/>
          <w:szCs w:val="24"/>
        </w:rPr>
        <w:t>第一，确保人事管理系统设计方案的正常应用与系统7*24小时正常运行，并对日常运行中的重大问题及关键问题予以分析，形成记录文档。</w:t>
      </w:r>
    </w:p>
    <w:p>
      <w:pPr>
        <w:spacing w:line="360" w:lineRule="auto"/>
        <w:ind w:firstLine="480" w:firstLineChars="200"/>
        <w:textAlignment w:val="baseline"/>
        <w:rPr>
          <w:rFonts w:ascii="仿宋" w:hAnsi="仿宋" w:eastAsia="仿宋" w:cs="仿宋"/>
          <w:bCs/>
          <w:sz w:val="24"/>
          <w:szCs w:val="24"/>
        </w:rPr>
      </w:pPr>
      <w:r>
        <w:rPr>
          <w:rFonts w:hint="eastAsia" w:ascii="仿宋" w:hAnsi="仿宋" w:eastAsia="仿宋" w:cs="仿宋"/>
          <w:bCs/>
          <w:sz w:val="24"/>
          <w:szCs w:val="24"/>
        </w:rPr>
        <w:t>第二，根据实际业务应用需求，进一步对系统的现有流程、功能进行优化，提高流程的流转效率，增加系统的友好性，从而提高系统使用效率及用户满意度。另一方面，对现有系统暂未实现的功能进行探索，为深化并扩大系统对于支撑公司业务开展的应用提供建议。</w:t>
      </w:r>
    </w:p>
    <w:p>
      <w:pPr>
        <w:spacing w:line="360" w:lineRule="auto"/>
        <w:ind w:firstLine="480" w:firstLineChars="200"/>
        <w:textAlignment w:val="baseline"/>
        <w:rPr>
          <w:rFonts w:ascii="仿宋" w:hAnsi="仿宋" w:eastAsia="仿宋" w:cs="仿宋"/>
          <w:bCs/>
          <w:sz w:val="24"/>
          <w:szCs w:val="24"/>
        </w:rPr>
      </w:pPr>
      <w:r>
        <w:rPr>
          <w:rFonts w:hint="eastAsia" w:ascii="仿宋" w:hAnsi="仿宋" w:eastAsia="仿宋" w:cs="仿宋"/>
          <w:bCs/>
          <w:sz w:val="24"/>
          <w:szCs w:val="24"/>
        </w:rPr>
        <w:t>第三，确保能够实时地解决用户在使用过程中遇到的问题，给予用户在系统使用上的帮助和指导，对应用人员进行培训，提高使用水平。</w:t>
      </w:r>
    </w:p>
    <w:p>
      <w:pPr>
        <w:spacing w:line="360" w:lineRule="auto"/>
        <w:ind w:firstLine="482" w:firstLineChars="200"/>
        <w:textAlignment w:val="baseline"/>
        <w:rPr>
          <w:rFonts w:ascii="仿宋" w:hAnsi="仿宋" w:eastAsia="仿宋" w:cs="仿宋"/>
          <w:b/>
          <w:sz w:val="24"/>
          <w:szCs w:val="24"/>
        </w:rPr>
      </w:pPr>
      <w:r>
        <w:rPr>
          <w:rFonts w:hint="eastAsia" w:ascii="仿宋" w:hAnsi="仿宋" w:eastAsia="仿宋" w:cs="仿宋"/>
          <w:b/>
          <w:sz w:val="24"/>
          <w:szCs w:val="24"/>
        </w:rPr>
        <w:t>2、项目服务内容</w:t>
      </w:r>
    </w:p>
    <w:p>
      <w:pPr>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2.1 系统日常巡检和故障排查</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在运维期内，供应商通过定期或不定期的人工巡检来做好运维事项检查，监控和记录相关系统的工作性能、配置变更状况，及时发现系统潜在问题，并在问题出现之前提前进行解决，以保证系统的正常运行。在系统出现故障以后，根据应急响应要求，对系统故障进行快速诊断和排查问题。</w:t>
      </w:r>
    </w:p>
    <w:p>
      <w:pPr>
        <w:spacing w:line="360" w:lineRule="auto"/>
        <w:ind w:firstLine="482" w:firstLineChars="200"/>
        <w:rPr>
          <w:rFonts w:ascii="仿宋" w:hAnsi="仿宋" w:eastAsia="仿宋" w:cs="仿宋"/>
          <w:b/>
          <w:bCs/>
          <w:sz w:val="24"/>
          <w:szCs w:val="24"/>
          <w:highlight w:val="none"/>
        </w:rPr>
      </w:pPr>
      <w:r>
        <w:rPr>
          <w:rFonts w:hint="eastAsia" w:ascii="仿宋" w:hAnsi="仿宋" w:eastAsia="仿宋" w:cs="仿宋"/>
          <w:b/>
          <w:bCs/>
          <w:sz w:val="24"/>
          <w:szCs w:val="24"/>
          <w:highlight w:val="none"/>
        </w:rPr>
        <w:t>2.2 日常用户操作指导和问题解答</w:t>
      </w:r>
    </w:p>
    <w:p>
      <w:pPr>
        <w:pStyle w:val="2"/>
        <w:numPr>
          <w:ilvl w:val="0"/>
          <w:numId w:val="6"/>
        </w:numPr>
        <w:spacing w:line="360" w:lineRule="auto"/>
        <w:ind w:left="0" w:firstLine="42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日常操作解答：当用户在使用系统过程遇到问题时为用户提供解答，帮助用户完成系统的填报、审批及其他操作。客户对人事管理系统相关法官遴选、法官等级变动、法官退额、天平荣誉申报等模块进行疑问咨询时，维护人员应针对客户对系统的理解程度，对客户进行操作流程指导。及时了解客户问题是否得到实质性解决。</w:t>
      </w:r>
    </w:p>
    <w:p>
      <w:pPr>
        <w:pStyle w:val="2"/>
        <w:numPr>
          <w:ilvl w:val="0"/>
          <w:numId w:val="6"/>
        </w:numPr>
        <w:spacing w:line="360" w:lineRule="auto"/>
        <w:ind w:left="0" w:firstLine="42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疑问解答：当客户对系统相关模块进行疑问咨询时，因为系统功能模块之间的相互勾稽和相互关联，所以维护人员应针对但不局限于客户咨询的模块进行解答，对于可能产生关联的模块也应该一并解答。</w:t>
      </w:r>
    </w:p>
    <w:p>
      <w:pPr>
        <w:pStyle w:val="2"/>
        <w:numPr>
          <w:ilvl w:val="0"/>
          <w:numId w:val="6"/>
        </w:numPr>
        <w:spacing w:line="360" w:lineRule="auto"/>
        <w:ind w:left="0" w:firstLine="42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特殊情况操作讲解：通过电话、在线通讯工具或者现场解答，指导使用人员进行复杂业务的填报。</w:t>
      </w:r>
    </w:p>
    <w:p>
      <w:pPr>
        <w:pStyle w:val="2"/>
        <w:numPr>
          <w:ilvl w:val="0"/>
          <w:numId w:val="6"/>
        </w:numPr>
        <w:spacing w:line="360" w:lineRule="auto"/>
        <w:ind w:left="0" w:firstLine="42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辅助操作：通过远程方式或现场方式，辅助使用人员进行数据填报等业务操作。</w:t>
      </w:r>
    </w:p>
    <w:p>
      <w:pPr>
        <w:pStyle w:val="2"/>
        <w:numPr>
          <w:ilvl w:val="0"/>
          <w:numId w:val="6"/>
        </w:numPr>
        <w:spacing w:line="360" w:lineRule="auto"/>
        <w:ind w:left="0" w:firstLine="42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错误数据修改：在填写后台修改确认单并经领导签字确认后，协助使用人员对已审核或办结业务中的错误数据进行更改。</w:t>
      </w:r>
    </w:p>
    <w:p>
      <w:pPr>
        <w:pStyle w:val="2"/>
        <w:numPr>
          <w:ilvl w:val="0"/>
          <w:numId w:val="6"/>
        </w:numPr>
        <w:spacing w:line="360" w:lineRule="auto"/>
        <w:ind w:left="0" w:firstLine="42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供应商运维人员及时更新系统用户操作手册和业务流程相关文档，按需开展关键用户、业务用户的培训工作。</w:t>
      </w:r>
    </w:p>
    <w:p>
      <w:pPr>
        <w:spacing w:line="360" w:lineRule="auto"/>
        <w:ind w:firstLine="482" w:firstLineChars="200"/>
        <w:rPr>
          <w:rFonts w:ascii="仿宋" w:hAnsi="仿宋" w:eastAsia="仿宋" w:cs="仿宋"/>
          <w:b/>
          <w:bCs/>
          <w:sz w:val="24"/>
          <w:szCs w:val="24"/>
          <w:highlight w:val="none"/>
        </w:rPr>
      </w:pPr>
      <w:r>
        <w:rPr>
          <w:rFonts w:hint="eastAsia" w:ascii="仿宋" w:hAnsi="仿宋" w:eastAsia="仿宋" w:cs="仿宋"/>
          <w:b/>
          <w:bCs/>
          <w:sz w:val="24"/>
          <w:szCs w:val="24"/>
          <w:highlight w:val="none"/>
        </w:rPr>
        <w:t>2.3 系统功能优化和完善</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highlight w:val="none"/>
        </w:rPr>
        <w:t>对于业务变更或者新增业务，供应商对系统现有功能进行优化完善以及相关功能的配置。</w:t>
      </w:r>
    </w:p>
    <w:p>
      <w:pPr>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2.4 用户账号、权限配置和管理</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做好系统用户账号管理工作，协助江苏省高级人民法院各部门人员在使用系统过程中涉及的角色、权限问题在系统中进行分配和变更，确保系统中各流程能够正常审核，以及所有干警能够正常使用系统。及时根据采购人提出的要求，负责对用户账号的新增、删除、冻结等工作。</w:t>
      </w:r>
    </w:p>
    <w:p>
      <w:pPr>
        <w:spacing w:line="360" w:lineRule="auto"/>
        <w:ind w:firstLine="482" w:firstLineChars="200"/>
        <w:textAlignment w:val="baseline"/>
        <w:rPr>
          <w:rFonts w:ascii="仿宋" w:hAnsi="仿宋" w:eastAsia="仿宋" w:cs="仿宋"/>
          <w:b/>
          <w:sz w:val="24"/>
          <w:szCs w:val="24"/>
        </w:rPr>
      </w:pPr>
      <w:r>
        <w:rPr>
          <w:rFonts w:hint="eastAsia" w:ascii="仿宋" w:hAnsi="仿宋" w:eastAsia="仿宋" w:cs="仿宋"/>
          <w:b/>
          <w:sz w:val="24"/>
          <w:szCs w:val="24"/>
        </w:rPr>
        <w:t>3、服务方式</w:t>
      </w:r>
    </w:p>
    <w:p>
      <w:pPr>
        <w:pStyle w:val="10"/>
        <w:ind w:firstLine="480" w:firstLineChars="200"/>
        <w:rPr>
          <w:rFonts w:ascii="仿宋" w:hAnsi="仿宋" w:eastAsia="仿宋" w:cs="仿宋"/>
          <w:bCs/>
          <w:sz w:val="24"/>
          <w:szCs w:val="24"/>
        </w:rPr>
      </w:pPr>
      <w:r>
        <w:rPr>
          <w:rFonts w:hint="eastAsia" w:ascii="仿宋" w:hAnsi="仿宋" w:eastAsia="仿宋" w:cs="仿宋"/>
          <w:bCs/>
          <w:sz w:val="24"/>
          <w:szCs w:val="24"/>
        </w:rPr>
        <w:t>根据采购人目前系统运维情况，</w:t>
      </w:r>
      <w:r>
        <w:rPr>
          <w:rFonts w:hint="eastAsia" w:ascii="仿宋" w:hAnsi="仿宋" w:eastAsia="仿宋" w:cs="仿宋"/>
          <w:sz w:val="24"/>
          <w:szCs w:val="24"/>
        </w:rPr>
        <w:t>供应商</w:t>
      </w:r>
      <w:r>
        <w:rPr>
          <w:rFonts w:hint="eastAsia" w:ascii="仿宋" w:hAnsi="仿宋" w:eastAsia="仿宋" w:cs="仿宋"/>
          <w:bCs/>
          <w:sz w:val="24"/>
          <w:szCs w:val="24"/>
        </w:rPr>
        <w:t>应承诺提供如下服务方式：</w:t>
      </w:r>
    </w:p>
    <w:p>
      <w:pPr>
        <w:pStyle w:val="10"/>
        <w:ind w:firstLine="480" w:firstLineChars="200"/>
        <w:rPr>
          <w:rFonts w:ascii="仿宋" w:hAnsi="仿宋" w:eastAsia="仿宋" w:cs="仿宋"/>
          <w:bCs/>
          <w:sz w:val="24"/>
          <w:szCs w:val="24"/>
        </w:rPr>
      </w:pPr>
      <w:r>
        <w:rPr>
          <w:rFonts w:hint="eastAsia" w:ascii="仿宋" w:hAnsi="仿宋" w:eastAsia="仿宋" w:cs="仿宋"/>
          <w:bCs/>
          <w:sz w:val="24"/>
          <w:szCs w:val="24"/>
        </w:rPr>
        <w:t>（1）现场服务：要求1名驻场工程师。驻场人员办公地点自理，办公时间为周一到周五的8:30-17:30，出现紧急故障须加班到问题解决为止。</w:t>
      </w:r>
    </w:p>
    <w:p>
      <w:pPr>
        <w:pStyle w:val="10"/>
        <w:ind w:firstLine="480" w:firstLineChars="200"/>
        <w:rPr>
          <w:rFonts w:ascii="仿宋" w:hAnsi="仿宋" w:eastAsia="仿宋" w:cs="仿宋"/>
          <w:bCs/>
          <w:sz w:val="24"/>
          <w:szCs w:val="24"/>
        </w:rPr>
      </w:pPr>
      <w:r>
        <w:rPr>
          <w:rFonts w:hint="eastAsia" w:ascii="仿宋" w:hAnsi="仿宋" w:eastAsia="仿宋" w:cs="仿宋"/>
          <w:bCs/>
          <w:sz w:val="24"/>
          <w:szCs w:val="24"/>
        </w:rPr>
        <w:t>（2）远程服务：在非工作时间和国家法定节假日期间向甲方提供一条热线电话，乙方将安排远程顾问，协助解决运维过程中遇到的难点或者重大故障问题。</w:t>
      </w:r>
    </w:p>
    <w:p>
      <w:pPr>
        <w:pStyle w:val="10"/>
        <w:ind w:firstLine="480" w:firstLineChars="200"/>
        <w:rPr>
          <w:rFonts w:ascii="仿宋" w:hAnsi="仿宋" w:eastAsia="仿宋" w:cs="仿宋"/>
          <w:bCs/>
          <w:sz w:val="24"/>
          <w:szCs w:val="24"/>
        </w:rPr>
      </w:pPr>
      <w:r>
        <w:rPr>
          <w:rFonts w:hint="eastAsia" w:ascii="仿宋" w:hAnsi="仿宋" w:eastAsia="仿宋" w:cs="仿宋"/>
          <w:bCs/>
          <w:sz w:val="24"/>
          <w:szCs w:val="24"/>
        </w:rPr>
        <w:t>（3）应急服务：根据工作需要，当现场运维人员无法处理用户提出的问题时，派遣高级技术人员到现场解决故障或远程支持直到问题得到解决。</w:t>
      </w:r>
    </w:p>
    <w:p>
      <w:pPr>
        <w:pStyle w:val="20"/>
      </w:pPr>
    </w:p>
    <w:p>
      <w:pPr>
        <w:spacing w:line="360" w:lineRule="auto"/>
        <w:ind w:firstLine="482" w:firstLineChars="200"/>
        <w:textAlignment w:val="baseline"/>
        <w:rPr>
          <w:rFonts w:ascii="仿宋" w:hAnsi="仿宋" w:eastAsia="仿宋" w:cs="仿宋"/>
          <w:b/>
          <w:sz w:val="24"/>
          <w:szCs w:val="24"/>
        </w:rPr>
      </w:pPr>
      <w:r>
        <w:rPr>
          <w:rFonts w:hint="eastAsia" w:ascii="仿宋" w:hAnsi="仿宋" w:eastAsia="仿宋" w:cs="仿宋"/>
          <w:b/>
          <w:sz w:val="24"/>
          <w:szCs w:val="24"/>
        </w:rPr>
        <w:t>4、项目团队要求</w:t>
      </w:r>
    </w:p>
    <w:p>
      <w:pPr>
        <w:spacing w:line="360" w:lineRule="auto"/>
        <w:ind w:firstLine="480" w:firstLineChars="200"/>
        <w:textAlignment w:val="baseline"/>
        <w:rPr>
          <w:rFonts w:ascii="仿宋" w:hAnsi="仿宋" w:eastAsia="仿宋" w:cs="仿宋"/>
          <w:sz w:val="24"/>
          <w:szCs w:val="24"/>
        </w:rPr>
      </w:pPr>
      <w:r>
        <w:rPr>
          <w:rFonts w:hint="eastAsia" w:ascii="仿宋" w:hAnsi="仿宋" w:eastAsia="仿宋" w:cs="仿宋"/>
          <w:sz w:val="24"/>
          <w:szCs w:val="24"/>
        </w:rPr>
        <w:t>1、工作要求</w:t>
      </w:r>
    </w:p>
    <w:p>
      <w:pPr>
        <w:spacing w:line="360" w:lineRule="auto"/>
        <w:ind w:firstLine="480" w:firstLineChars="200"/>
        <w:textAlignment w:val="baseline"/>
        <w:rPr>
          <w:rFonts w:ascii="仿宋" w:hAnsi="仿宋" w:eastAsia="仿宋" w:cs="仿宋"/>
          <w:sz w:val="24"/>
          <w:szCs w:val="24"/>
        </w:rPr>
      </w:pPr>
      <w:r>
        <w:rPr>
          <w:rFonts w:hint="eastAsia" w:ascii="仿宋" w:hAnsi="仿宋" w:eastAsia="仿宋" w:cs="仿宋"/>
          <w:sz w:val="24"/>
          <w:szCs w:val="24"/>
        </w:rPr>
        <w:t>（1）严格遵守采购人各项管理规章制度，工作时间内穿着得体，办公时间范围内佩带由采购人提供的工作证件，配合工作区出入登记。</w:t>
      </w:r>
    </w:p>
    <w:p>
      <w:pPr>
        <w:spacing w:line="360" w:lineRule="auto"/>
        <w:ind w:firstLine="480" w:firstLineChars="200"/>
        <w:textAlignment w:val="baseline"/>
        <w:rPr>
          <w:rFonts w:ascii="仿宋" w:hAnsi="仿宋" w:eastAsia="仿宋" w:cs="仿宋"/>
          <w:sz w:val="24"/>
          <w:szCs w:val="24"/>
        </w:rPr>
      </w:pPr>
      <w:r>
        <w:rPr>
          <w:rFonts w:hint="eastAsia" w:ascii="仿宋" w:hAnsi="仿宋" w:eastAsia="仿宋" w:cs="仿宋"/>
          <w:sz w:val="24"/>
          <w:szCs w:val="24"/>
        </w:rPr>
        <w:t>（2）工作认真负责、响应及时，精神饱满且服务态度友好，处理好与采购人相关人员的关系。</w:t>
      </w:r>
    </w:p>
    <w:p>
      <w:pPr>
        <w:spacing w:line="360" w:lineRule="auto"/>
        <w:ind w:firstLine="480" w:firstLineChars="200"/>
        <w:textAlignment w:val="baseline"/>
        <w:rPr>
          <w:rFonts w:ascii="仿宋" w:hAnsi="仿宋" w:eastAsia="仿宋" w:cs="仿宋"/>
          <w:sz w:val="24"/>
          <w:szCs w:val="24"/>
        </w:rPr>
      </w:pPr>
      <w:r>
        <w:rPr>
          <w:rFonts w:hint="eastAsia" w:ascii="仿宋" w:hAnsi="仿宋" w:eastAsia="仿宋" w:cs="仿宋"/>
          <w:sz w:val="24"/>
          <w:szCs w:val="24"/>
        </w:rPr>
        <w:t>（3）服从采购人管理人员任务安排和工作要求，按采购人流程执行维护任务，认真详实汇报工作情况。</w:t>
      </w:r>
    </w:p>
    <w:p>
      <w:pPr>
        <w:spacing w:line="360" w:lineRule="auto"/>
        <w:ind w:firstLine="480" w:firstLineChars="200"/>
        <w:textAlignment w:val="baseline"/>
        <w:rPr>
          <w:rFonts w:ascii="仿宋" w:hAnsi="仿宋" w:eastAsia="仿宋" w:cs="仿宋"/>
          <w:sz w:val="24"/>
          <w:szCs w:val="24"/>
        </w:rPr>
      </w:pPr>
      <w:r>
        <w:rPr>
          <w:rFonts w:hint="eastAsia" w:ascii="仿宋" w:hAnsi="仿宋" w:eastAsia="仿宋" w:cs="仿宋"/>
          <w:sz w:val="24"/>
          <w:szCs w:val="24"/>
        </w:rPr>
        <w:t>（4）在未经采购人同意下，驻点人员不得在工作时间内执行非采购人的维护服务工作。</w:t>
      </w:r>
    </w:p>
    <w:p>
      <w:pPr>
        <w:spacing w:line="360" w:lineRule="auto"/>
        <w:ind w:firstLine="480" w:firstLineChars="200"/>
        <w:textAlignment w:val="baseline"/>
        <w:rPr>
          <w:rFonts w:ascii="仿宋" w:hAnsi="仿宋" w:eastAsia="仿宋" w:cs="仿宋"/>
          <w:sz w:val="24"/>
          <w:szCs w:val="24"/>
        </w:rPr>
      </w:pPr>
      <w:r>
        <w:rPr>
          <w:rFonts w:hint="eastAsia" w:ascii="仿宋" w:hAnsi="仿宋" w:eastAsia="仿宋" w:cs="仿宋"/>
          <w:sz w:val="24"/>
          <w:szCs w:val="24"/>
        </w:rPr>
        <w:t>（5）必须做好驻点环境的清洁卫生和安全监督工作，确保项目实施稳步进行。</w:t>
      </w:r>
    </w:p>
    <w:p>
      <w:pPr>
        <w:spacing w:line="360" w:lineRule="auto"/>
        <w:ind w:firstLine="480" w:firstLineChars="200"/>
        <w:textAlignment w:val="baseline"/>
        <w:rPr>
          <w:rFonts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b/>
          <w:bCs/>
          <w:i/>
          <w:iCs/>
          <w:sz w:val="24"/>
          <w:szCs w:val="24"/>
          <w:u w:val="single"/>
        </w:rPr>
        <w:t>不得未经授权使用、传播、转让或向第三方披露或公开人事管理系统中的任何数据。</w:t>
      </w:r>
    </w:p>
    <w:p>
      <w:pPr>
        <w:spacing w:line="360" w:lineRule="auto"/>
        <w:ind w:firstLine="480" w:firstLineChars="200"/>
        <w:textAlignment w:val="baseline"/>
        <w:rPr>
          <w:rFonts w:ascii="仿宋" w:hAnsi="仿宋" w:eastAsia="仿宋" w:cs="仿宋"/>
          <w:sz w:val="24"/>
          <w:szCs w:val="24"/>
        </w:rPr>
      </w:pPr>
      <w:r>
        <w:rPr>
          <w:rFonts w:hint="eastAsia" w:ascii="仿宋" w:hAnsi="仿宋" w:eastAsia="仿宋" w:cs="仿宋"/>
          <w:sz w:val="24"/>
          <w:szCs w:val="24"/>
        </w:rPr>
        <w:t>2、人员要求</w:t>
      </w:r>
    </w:p>
    <w:p>
      <w:pPr>
        <w:spacing w:line="360" w:lineRule="auto"/>
        <w:ind w:firstLine="480" w:firstLineChars="200"/>
        <w:textAlignment w:val="baseline"/>
        <w:rPr>
          <w:rFonts w:ascii="仿宋" w:hAnsi="仿宋" w:eastAsia="仿宋" w:cs="仿宋"/>
          <w:sz w:val="24"/>
          <w:szCs w:val="24"/>
        </w:rPr>
      </w:pPr>
      <w:r>
        <w:rPr>
          <w:rFonts w:hint="eastAsia" w:ascii="仿宋" w:hAnsi="仿宋" w:eastAsia="仿宋" w:cs="仿宋"/>
          <w:sz w:val="24"/>
          <w:szCs w:val="24"/>
        </w:rPr>
        <w:t>（1）供应商需保证执行本项目的项目经理必须具有5年（含）以上人事管理系统实施或运维服务经验，3年以上项目经理管理经验。</w:t>
      </w:r>
    </w:p>
    <w:p>
      <w:pPr>
        <w:spacing w:line="360" w:lineRule="auto"/>
        <w:ind w:firstLine="480" w:firstLineChars="200"/>
        <w:textAlignment w:val="baseline"/>
        <w:rPr>
          <w:rFonts w:ascii="仿宋" w:hAnsi="仿宋" w:eastAsia="仿宋" w:cs="仿宋"/>
          <w:sz w:val="24"/>
          <w:szCs w:val="24"/>
        </w:rPr>
      </w:pPr>
      <w:r>
        <w:rPr>
          <w:rFonts w:hint="eastAsia" w:ascii="仿宋" w:hAnsi="仿宋" w:eastAsia="仿宋" w:cs="仿宋"/>
          <w:sz w:val="24"/>
          <w:szCs w:val="24"/>
        </w:rPr>
        <w:t>（2）驻点服务成员需具有3年（含）以上人事管理系统实施或运维服务经验。</w:t>
      </w:r>
    </w:p>
    <w:p>
      <w:pPr>
        <w:spacing w:line="360" w:lineRule="auto"/>
        <w:ind w:firstLine="480" w:firstLineChars="200"/>
        <w:textAlignment w:val="baseline"/>
        <w:rPr>
          <w:rFonts w:ascii="仿宋" w:hAnsi="仿宋" w:eastAsia="仿宋" w:cs="仿宋"/>
          <w:sz w:val="24"/>
          <w:szCs w:val="24"/>
        </w:rPr>
      </w:pPr>
      <w:r>
        <w:rPr>
          <w:rFonts w:hint="eastAsia" w:ascii="仿宋" w:hAnsi="仿宋" w:eastAsia="仿宋" w:cs="仿宋"/>
          <w:sz w:val="24"/>
          <w:szCs w:val="24"/>
        </w:rPr>
        <w:t>（3）项目人员的变更必须得到采购人的认同，且更替人员的资质不低原项目人员。</w:t>
      </w:r>
    </w:p>
    <w:p>
      <w:pPr>
        <w:spacing w:line="360" w:lineRule="auto"/>
        <w:ind w:firstLine="482" w:firstLineChars="200"/>
        <w:textAlignment w:val="baseline"/>
        <w:rPr>
          <w:rFonts w:ascii="仿宋" w:hAnsi="仿宋" w:eastAsia="仿宋" w:cs="仿宋"/>
          <w:b/>
          <w:sz w:val="24"/>
          <w:szCs w:val="24"/>
        </w:rPr>
      </w:pPr>
      <w:r>
        <w:rPr>
          <w:rFonts w:hint="eastAsia" w:ascii="仿宋" w:hAnsi="仿宋" w:eastAsia="仿宋" w:cs="仿宋"/>
          <w:b/>
          <w:sz w:val="24"/>
          <w:szCs w:val="24"/>
        </w:rPr>
        <w:t>5、培训及推广需求</w:t>
      </w:r>
    </w:p>
    <w:p>
      <w:pPr>
        <w:pStyle w:val="30"/>
        <w:spacing w:line="360" w:lineRule="auto"/>
        <w:ind w:firstLine="480"/>
        <w:textAlignment w:val="baseline"/>
        <w:rPr>
          <w:rFonts w:ascii="仿宋" w:hAnsi="仿宋" w:eastAsia="仿宋" w:cs="仿宋"/>
          <w:bCs/>
          <w:sz w:val="24"/>
          <w:szCs w:val="24"/>
        </w:rPr>
      </w:pPr>
      <w:r>
        <w:rPr>
          <w:rFonts w:hint="eastAsia" w:ascii="仿宋" w:hAnsi="仿宋" w:eastAsia="仿宋" w:cs="仿宋"/>
          <w:sz w:val="24"/>
          <w:szCs w:val="24"/>
        </w:rPr>
        <w:t>供应商</w:t>
      </w:r>
      <w:r>
        <w:rPr>
          <w:rFonts w:hint="eastAsia" w:ascii="仿宋" w:hAnsi="仿宋" w:eastAsia="仿宋" w:cs="仿宋"/>
          <w:bCs/>
          <w:sz w:val="24"/>
          <w:szCs w:val="24"/>
        </w:rPr>
        <w:t>应提供现场培训及集中的技术培训，对用户和管理员进行培训，培训内容需充分考虑到甲方现有系统管理人员实际水平，提出合理的培训方案。</w:t>
      </w:r>
    </w:p>
    <w:p>
      <w:pPr>
        <w:spacing w:line="360" w:lineRule="auto"/>
        <w:ind w:firstLine="482" w:firstLineChars="200"/>
        <w:textAlignment w:val="baseline"/>
        <w:rPr>
          <w:rFonts w:ascii="仿宋" w:hAnsi="仿宋" w:eastAsia="仿宋" w:cs="仿宋"/>
          <w:b/>
          <w:sz w:val="24"/>
          <w:szCs w:val="24"/>
        </w:rPr>
      </w:pPr>
      <w:r>
        <w:rPr>
          <w:rFonts w:hint="eastAsia" w:ascii="仿宋" w:hAnsi="仿宋" w:eastAsia="仿宋" w:cs="仿宋"/>
          <w:b/>
          <w:sz w:val="24"/>
          <w:szCs w:val="24"/>
        </w:rPr>
        <w:t>6、应急响应要求</w:t>
      </w:r>
    </w:p>
    <w:p>
      <w:pPr>
        <w:pStyle w:val="30"/>
        <w:spacing w:line="360" w:lineRule="auto"/>
        <w:ind w:firstLine="480"/>
        <w:rPr>
          <w:rFonts w:ascii="仿宋" w:hAnsi="仿宋" w:eastAsia="仿宋" w:cs="仿宋"/>
          <w:sz w:val="24"/>
          <w:szCs w:val="24"/>
        </w:rPr>
      </w:pPr>
      <w:r>
        <w:rPr>
          <w:rFonts w:hint="eastAsia" w:ascii="仿宋" w:hAnsi="仿宋" w:eastAsia="仿宋" w:cs="仿宋"/>
          <w:sz w:val="24"/>
          <w:szCs w:val="24"/>
        </w:rPr>
        <w:t>服务团队应加强日常巡检，以尽量避免故障的出现。若系统出现故障，供应商应承诺按照故障的级别，在下表规定的时间内进行修复，恢复正常的使用。</w:t>
      </w:r>
    </w:p>
    <w:tbl>
      <w:tblPr>
        <w:tblStyle w:val="31"/>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32"/>
        <w:gridCol w:w="4191"/>
        <w:gridCol w:w="48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trPr>
        <w:tc>
          <w:tcPr>
            <w:tcW w:w="640"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center"/>
              <w:rPr>
                <w:rFonts w:ascii="仿宋" w:hAnsi="仿宋" w:eastAsia="仿宋" w:cs="仿宋"/>
                <w:b/>
              </w:rPr>
            </w:pPr>
            <w:r>
              <w:rPr>
                <w:rFonts w:hint="eastAsia" w:ascii="仿宋" w:hAnsi="仿宋" w:eastAsia="仿宋" w:cs="仿宋"/>
                <w:b/>
              </w:rPr>
              <w:t>故障级别</w:t>
            </w:r>
          </w:p>
        </w:tc>
        <w:tc>
          <w:tcPr>
            <w:tcW w:w="2013"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center"/>
              <w:rPr>
                <w:rFonts w:ascii="仿宋" w:hAnsi="仿宋" w:eastAsia="仿宋" w:cs="仿宋"/>
                <w:b/>
              </w:rPr>
            </w:pPr>
            <w:r>
              <w:rPr>
                <w:rFonts w:hint="eastAsia" w:ascii="仿宋" w:hAnsi="仿宋" w:eastAsia="仿宋" w:cs="仿宋"/>
                <w:b/>
              </w:rPr>
              <w:t>故障描述</w:t>
            </w:r>
          </w:p>
        </w:tc>
        <w:tc>
          <w:tcPr>
            <w:tcW w:w="2347"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center"/>
              <w:rPr>
                <w:rFonts w:ascii="仿宋" w:hAnsi="仿宋" w:eastAsia="仿宋" w:cs="仿宋"/>
                <w:b/>
              </w:rPr>
            </w:pPr>
            <w:r>
              <w:rPr>
                <w:rFonts w:hint="eastAsia" w:ascii="仿宋" w:hAnsi="仿宋" w:eastAsia="仿宋" w:cs="仿宋"/>
                <w:b/>
              </w:rPr>
              <w:t>处理时间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40"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center"/>
              <w:rPr>
                <w:rFonts w:ascii="仿宋" w:hAnsi="仿宋" w:eastAsia="仿宋" w:cs="仿宋"/>
              </w:rPr>
            </w:pPr>
            <w:r>
              <w:rPr>
                <w:rFonts w:hint="eastAsia" w:ascii="仿宋" w:hAnsi="仿宋" w:eastAsia="仿宋" w:cs="仿宋"/>
              </w:rPr>
              <w:t>一级</w:t>
            </w:r>
          </w:p>
        </w:tc>
        <w:tc>
          <w:tcPr>
            <w:tcW w:w="2013"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ascii="仿宋" w:hAnsi="仿宋" w:eastAsia="仿宋" w:cs="仿宋"/>
              </w:rPr>
            </w:pPr>
            <w:r>
              <w:rPr>
                <w:rFonts w:hint="eastAsia" w:ascii="仿宋" w:hAnsi="仿宋" w:eastAsia="仿宋" w:cs="仿宋"/>
              </w:rPr>
              <w:t>属于紧急问题，现象为：系统故障导致业务停止、数据丢失。</w:t>
            </w:r>
          </w:p>
        </w:tc>
        <w:tc>
          <w:tcPr>
            <w:tcW w:w="2347"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仿宋" w:hAnsi="仿宋" w:eastAsia="仿宋" w:cs="仿宋"/>
              </w:rPr>
            </w:pPr>
            <w:r>
              <w:rPr>
                <w:rFonts w:hint="eastAsia" w:ascii="仿宋" w:hAnsi="仿宋" w:eastAsia="仿宋" w:cs="仿宋"/>
              </w:rPr>
              <w:t>5分钟内进行响应处理，4小时内恢复正常使用。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40"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center"/>
              <w:rPr>
                <w:rFonts w:ascii="仿宋" w:hAnsi="仿宋" w:eastAsia="仿宋" w:cs="仿宋"/>
              </w:rPr>
            </w:pPr>
            <w:r>
              <w:rPr>
                <w:rFonts w:hint="eastAsia" w:ascii="仿宋" w:hAnsi="仿宋" w:eastAsia="仿宋" w:cs="仿宋"/>
              </w:rPr>
              <w:t>二级</w:t>
            </w:r>
          </w:p>
        </w:tc>
        <w:tc>
          <w:tcPr>
            <w:tcW w:w="2013"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ascii="仿宋" w:hAnsi="仿宋" w:eastAsia="仿宋" w:cs="仿宋"/>
              </w:rPr>
            </w:pPr>
            <w:r>
              <w:rPr>
                <w:rFonts w:hint="eastAsia" w:ascii="仿宋" w:hAnsi="仿宋" w:eastAsia="仿宋" w:cs="仿宋"/>
              </w:rPr>
              <w:t>属于严重问题，现象为：部分部件失效、系统性能下降但不影响正常业务运作。</w:t>
            </w:r>
          </w:p>
        </w:tc>
        <w:tc>
          <w:tcPr>
            <w:tcW w:w="2347"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ascii="仿宋" w:hAnsi="仿宋" w:eastAsia="仿宋" w:cs="仿宋"/>
              </w:rPr>
            </w:pPr>
            <w:r>
              <w:rPr>
                <w:rFonts w:hint="eastAsia" w:ascii="仿宋" w:hAnsi="仿宋" w:eastAsia="仿宋" w:cs="仿宋"/>
              </w:rPr>
              <w:t>5分钟内进行响应处理， 8小时内恢复正常使用。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40"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center"/>
              <w:rPr>
                <w:rFonts w:ascii="仿宋" w:hAnsi="仿宋" w:eastAsia="仿宋" w:cs="仿宋"/>
              </w:rPr>
            </w:pPr>
            <w:r>
              <w:rPr>
                <w:rFonts w:hint="eastAsia" w:ascii="仿宋" w:hAnsi="仿宋" w:eastAsia="仿宋" w:cs="仿宋"/>
              </w:rPr>
              <w:t>三级</w:t>
            </w:r>
          </w:p>
        </w:tc>
        <w:tc>
          <w:tcPr>
            <w:tcW w:w="2013"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ascii="仿宋" w:hAnsi="仿宋" w:eastAsia="仿宋" w:cs="仿宋"/>
              </w:rPr>
            </w:pPr>
            <w:r>
              <w:rPr>
                <w:rFonts w:hint="eastAsia" w:ascii="仿宋" w:hAnsi="仿宋" w:eastAsia="仿宋" w:cs="仿宋"/>
              </w:rPr>
              <w:t>属于较严重的问题，现象为：系统能继续运行且性能不受影响，但出现系统报错或部分部件故障,存在较大安全隐患。</w:t>
            </w:r>
          </w:p>
        </w:tc>
        <w:tc>
          <w:tcPr>
            <w:tcW w:w="2347"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ascii="仿宋" w:hAnsi="仿宋" w:eastAsia="仿宋" w:cs="仿宋"/>
              </w:rPr>
            </w:pPr>
            <w:r>
              <w:rPr>
                <w:rFonts w:hint="eastAsia" w:ascii="仿宋" w:hAnsi="仿宋" w:eastAsia="仿宋" w:cs="仿宋"/>
              </w:rPr>
              <w:t>30分钟内进行响应处理， 12小时内恢复正常使用。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40"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center"/>
              <w:rPr>
                <w:rFonts w:ascii="仿宋" w:hAnsi="仿宋" w:eastAsia="仿宋" w:cs="仿宋"/>
              </w:rPr>
            </w:pPr>
            <w:r>
              <w:rPr>
                <w:rFonts w:hint="eastAsia" w:ascii="仿宋" w:hAnsi="仿宋" w:eastAsia="仿宋" w:cs="仿宋"/>
              </w:rPr>
              <w:t>四级</w:t>
            </w:r>
          </w:p>
        </w:tc>
        <w:tc>
          <w:tcPr>
            <w:tcW w:w="2013"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ascii="仿宋" w:hAnsi="仿宋" w:eastAsia="仿宋" w:cs="仿宋"/>
              </w:rPr>
            </w:pPr>
            <w:r>
              <w:rPr>
                <w:rFonts w:hint="eastAsia" w:ascii="仿宋" w:hAnsi="仿宋" w:eastAsia="仿宋" w:cs="仿宋"/>
              </w:rPr>
              <w:t>四级：属于普通问题，现象为：系统技术功能、安装或配置咨询，或其他不影响业务的预约服务。</w:t>
            </w:r>
          </w:p>
        </w:tc>
        <w:tc>
          <w:tcPr>
            <w:tcW w:w="2347"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rPr>
                <w:rFonts w:ascii="仿宋" w:hAnsi="仿宋" w:eastAsia="仿宋" w:cs="仿宋"/>
              </w:rPr>
            </w:pPr>
            <w:r>
              <w:rPr>
                <w:rFonts w:hint="eastAsia" w:ascii="仿宋" w:hAnsi="仿宋" w:eastAsia="仿宋" w:cs="仿宋"/>
              </w:rPr>
              <w:t>60分钟内进行响应，与招标人具体商讨处理时间。</w:t>
            </w:r>
          </w:p>
        </w:tc>
      </w:tr>
    </w:tbl>
    <w:p>
      <w:pPr>
        <w:keepNext/>
        <w:keepLines/>
        <w:autoSpaceDE w:val="0"/>
        <w:autoSpaceDN w:val="0"/>
        <w:adjustRightInd w:val="0"/>
        <w:spacing w:line="360" w:lineRule="auto"/>
        <w:ind w:firstLine="562" w:firstLineChars="200"/>
        <w:outlineLvl w:val="1"/>
        <w:rPr>
          <w:rFonts w:ascii="仿宋" w:hAnsi="仿宋" w:eastAsia="仿宋" w:cs="仿宋"/>
          <w:b/>
          <w:bCs/>
          <w:sz w:val="28"/>
          <w:szCs w:val="28"/>
        </w:rPr>
      </w:pPr>
      <w:r>
        <w:rPr>
          <w:rFonts w:hint="eastAsia" w:ascii="仿宋" w:hAnsi="仿宋" w:eastAsia="仿宋" w:cs="仿宋"/>
          <w:b/>
          <w:bCs/>
          <w:sz w:val="28"/>
          <w:szCs w:val="28"/>
        </w:rPr>
        <w:t>二、项目基本内容</w:t>
      </w:r>
    </w:p>
    <w:p>
      <w:pPr>
        <w:pStyle w:val="2"/>
        <w:spacing w:line="360" w:lineRule="auto"/>
        <w:ind w:firstLine="480" w:firstLineChars="200"/>
        <w:rPr>
          <w:rFonts w:ascii="仿宋" w:hAnsi="仿宋" w:eastAsia="仿宋" w:cs="仿宋"/>
          <w:sz w:val="24"/>
          <w:szCs w:val="24"/>
          <w:lang w:val="en-US"/>
        </w:rPr>
      </w:pPr>
      <w:r>
        <w:rPr>
          <w:rFonts w:hint="eastAsia" w:ascii="仿宋" w:hAnsi="仿宋" w:eastAsia="仿宋" w:cs="仿宋"/>
          <w:sz w:val="24"/>
          <w:szCs w:val="24"/>
          <w:lang w:val="en-US"/>
        </w:rPr>
        <w:t>1.组织架构</w:t>
      </w:r>
    </w:p>
    <w:p>
      <w:pPr>
        <w:pStyle w:val="2"/>
        <w:spacing w:line="360" w:lineRule="auto"/>
        <w:ind w:firstLine="480" w:firstLineChars="200"/>
        <w:rPr>
          <w:rFonts w:ascii="仿宋" w:hAnsi="仿宋" w:eastAsia="仿宋" w:cs="仿宋"/>
          <w:sz w:val="24"/>
          <w:szCs w:val="24"/>
          <w:lang w:val="en-US"/>
        </w:rPr>
      </w:pPr>
      <w:r>
        <w:rPr>
          <w:rFonts w:hint="eastAsia" w:ascii="仿宋" w:hAnsi="仿宋" w:eastAsia="仿宋" w:cs="仿宋"/>
          <w:sz w:val="24"/>
          <w:szCs w:val="24"/>
          <w:lang w:val="en-US"/>
        </w:rPr>
        <w:t>实现法院单位信息的管理，包括组织机构的新增、修改、删除、撤销、合并、划转等业务。根据人员数据自动生成单位的统计汇总数，对单位信息进行统计，生成和打印单位花名册、单位登记表，实现人员数据与单位数据的联动。</w:t>
      </w:r>
    </w:p>
    <w:p>
      <w:pPr>
        <w:pStyle w:val="2"/>
        <w:spacing w:line="360" w:lineRule="auto"/>
        <w:ind w:firstLine="480" w:firstLineChars="200"/>
        <w:rPr>
          <w:rFonts w:ascii="仿宋" w:hAnsi="仿宋" w:eastAsia="仿宋" w:cs="仿宋"/>
          <w:sz w:val="24"/>
          <w:szCs w:val="24"/>
          <w:lang w:val="en-US"/>
        </w:rPr>
      </w:pPr>
      <w:r>
        <w:rPr>
          <w:rFonts w:hint="eastAsia" w:ascii="仿宋" w:hAnsi="仿宋" w:eastAsia="仿宋" w:cs="仿宋"/>
          <w:sz w:val="24"/>
          <w:szCs w:val="24"/>
          <w:lang w:val="en-US"/>
        </w:rPr>
        <w:t>2.人员信息</w:t>
      </w:r>
    </w:p>
    <w:p>
      <w:pPr>
        <w:pStyle w:val="2"/>
        <w:spacing w:line="360" w:lineRule="auto"/>
        <w:ind w:firstLine="480" w:firstLineChars="200"/>
        <w:rPr>
          <w:rFonts w:ascii="仿宋" w:hAnsi="仿宋" w:eastAsia="仿宋" w:cs="仿宋"/>
          <w:sz w:val="24"/>
          <w:szCs w:val="24"/>
          <w:lang w:val="en-US"/>
        </w:rPr>
      </w:pPr>
      <w:r>
        <w:rPr>
          <w:rFonts w:hint="eastAsia" w:ascii="仿宋" w:hAnsi="仿宋" w:eastAsia="仿宋" w:cs="仿宋"/>
          <w:sz w:val="24"/>
          <w:szCs w:val="24"/>
          <w:lang w:val="en-US"/>
        </w:rPr>
        <w:t>实现对江苏法院人员基础数据的采集、维护、分析和统计。</w:t>
      </w:r>
    </w:p>
    <w:p>
      <w:pPr>
        <w:pStyle w:val="2"/>
        <w:spacing w:line="360" w:lineRule="auto"/>
        <w:ind w:firstLine="480" w:firstLineChars="200"/>
        <w:rPr>
          <w:rFonts w:ascii="仿宋" w:hAnsi="仿宋" w:eastAsia="仿宋" w:cs="仿宋"/>
          <w:sz w:val="24"/>
          <w:szCs w:val="24"/>
          <w:lang w:val="en-US"/>
        </w:rPr>
      </w:pPr>
      <w:r>
        <w:rPr>
          <w:rFonts w:hint="eastAsia" w:ascii="仿宋" w:hAnsi="仿宋" w:eastAsia="仿宋" w:cs="仿宋"/>
          <w:sz w:val="24"/>
          <w:szCs w:val="24"/>
          <w:lang w:val="en-US"/>
        </w:rPr>
        <w:t>3.业务办理</w:t>
      </w:r>
    </w:p>
    <w:p>
      <w:pPr>
        <w:pStyle w:val="2"/>
        <w:spacing w:line="360" w:lineRule="auto"/>
        <w:ind w:firstLine="480" w:firstLineChars="200"/>
        <w:rPr>
          <w:rFonts w:ascii="仿宋" w:hAnsi="仿宋" w:eastAsia="仿宋" w:cs="仿宋"/>
          <w:sz w:val="24"/>
          <w:szCs w:val="24"/>
          <w:lang w:val="en-US"/>
        </w:rPr>
      </w:pPr>
      <w:r>
        <w:rPr>
          <w:rFonts w:hint="eastAsia" w:ascii="仿宋" w:hAnsi="仿宋" w:eastAsia="仿宋" w:cs="仿宋"/>
          <w:sz w:val="24"/>
          <w:szCs w:val="24"/>
          <w:lang w:val="en-US"/>
        </w:rPr>
        <w:t>实现如法官等级、人员调动、补员等相关业务流程表单的自动流转及审批功能，业务审批完成后，自动更新人员相关信息。</w:t>
      </w:r>
    </w:p>
    <w:p>
      <w:pPr>
        <w:pStyle w:val="2"/>
        <w:spacing w:line="360" w:lineRule="auto"/>
        <w:ind w:firstLine="480" w:firstLineChars="200"/>
        <w:rPr>
          <w:rFonts w:ascii="仿宋" w:hAnsi="仿宋" w:eastAsia="仿宋" w:cs="仿宋"/>
          <w:sz w:val="24"/>
          <w:szCs w:val="24"/>
          <w:lang w:val="en-US"/>
        </w:rPr>
      </w:pPr>
      <w:r>
        <w:rPr>
          <w:rFonts w:hint="eastAsia" w:ascii="仿宋" w:hAnsi="仿宋" w:eastAsia="仿宋" w:cs="仿宋"/>
          <w:sz w:val="24"/>
          <w:szCs w:val="24"/>
          <w:lang w:val="en-US"/>
        </w:rPr>
        <w:t>4.文档管理</w:t>
      </w:r>
    </w:p>
    <w:p>
      <w:pPr>
        <w:pStyle w:val="2"/>
        <w:spacing w:line="360" w:lineRule="auto"/>
        <w:ind w:firstLine="480" w:firstLineChars="200"/>
        <w:rPr>
          <w:rFonts w:ascii="仿宋" w:hAnsi="仿宋" w:eastAsia="仿宋" w:cs="仿宋"/>
          <w:sz w:val="24"/>
          <w:szCs w:val="24"/>
          <w:lang w:val="en-US"/>
        </w:rPr>
      </w:pPr>
      <w:r>
        <w:rPr>
          <w:rFonts w:hint="eastAsia" w:ascii="仿宋" w:hAnsi="仿宋" w:eastAsia="仿宋" w:cs="仿宋"/>
          <w:sz w:val="24"/>
          <w:szCs w:val="24"/>
          <w:lang w:val="en-US"/>
        </w:rPr>
        <w:t>上传文档并按分类建设目录，供业务人员查阅及下载。</w:t>
      </w:r>
    </w:p>
    <w:p>
      <w:pPr>
        <w:pStyle w:val="2"/>
        <w:spacing w:line="360" w:lineRule="auto"/>
        <w:ind w:firstLine="480" w:firstLineChars="200"/>
        <w:rPr>
          <w:rFonts w:ascii="仿宋" w:hAnsi="仿宋" w:eastAsia="仿宋" w:cs="仿宋"/>
          <w:sz w:val="24"/>
          <w:szCs w:val="24"/>
          <w:lang w:val="en-US"/>
        </w:rPr>
      </w:pPr>
      <w:r>
        <w:rPr>
          <w:rFonts w:hint="eastAsia" w:ascii="仿宋" w:hAnsi="仿宋" w:eastAsia="仿宋" w:cs="仿宋"/>
          <w:sz w:val="24"/>
          <w:szCs w:val="24"/>
          <w:lang w:val="en-US"/>
        </w:rPr>
        <w:t>5.报表管理</w:t>
      </w:r>
    </w:p>
    <w:p>
      <w:pPr>
        <w:pStyle w:val="2"/>
        <w:spacing w:line="360" w:lineRule="auto"/>
        <w:ind w:firstLine="480" w:firstLineChars="200"/>
        <w:rPr>
          <w:rFonts w:ascii="仿宋" w:hAnsi="仿宋" w:eastAsia="仿宋" w:cs="仿宋"/>
          <w:sz w:val="24"/>
          <w:szCs w:val="24"/>
          <w:lang w:val="en-US"/>
        </w:rPr>
      </w:pPr>
      <w:r>
        <w:rPr>
          <w:rFonts w:hint="eastAsia" w:ascii="仿宋" w:hAnsi="仿宋" w:eastAsia="仿宋" w:cs="仿宋"/>
          <w:sz w:val="24"/>
          <w:szCs w:val="24"/>
          <w:lang w:val="en-US"/>
        </w:rPr>
        <w:t>提供报表设计工具，可以通过快速配置，生成需要的各种报表，包括登记表、花名册、统计表、台账等。</w:t>
      </w:r>
    </w:p>
    <w:p>
      <w:pPr>
        <w:pStyle w:val="2"/>
        <w:spacing w:line="360" w:lineRule="auto"/>
        <w:ind w:firstLine="480" w:firstLineChars="200"/>
        <w:rPr>
          <w:rFonts w:ascii="仿宋" w:hAnsi="仿宋" w:eastAsia="仿宋" w:cs="仿宋"/>
          <w:sz w:val="24"/>
          <w:szCs w:val="24"/>
          <w:lang w:val="en-US"/>
        </w:rPr>
      </w:pPr>
      <w:r>
        <w:rPr>
          <w:rFonts w:hint="eastAsia" w:ascii="仿宋" w:hAnsi="仿宋" w:eastAsia="仿宋" w:cs="仿宋"/>
          <w:sz w:val="24"/>
          <w:szCs w:val="24"/>
          <w:lang w:val="en-US"/>
        </w:rPr>
        <w:t>6.系统管理</w:t>
      </w:r>
    </w:p>
    <w:p>
      <w:pPr>
        <w:pStyle w:val="2"/>
        <w:spacing w:line="360" w:lineRule="auto"/>
        <w:ind w:firstLine="480" w:firstLineChars="200"/>
        <w:rPr>
          <w:rFonts w:ascii="仿宋" w:hAnsi="仿宋" w:eastAsia="仿宋" w:cs="仿宋"/>
          <w:sz w:val="24"/>
          <w:szCs w:val="24"/>
          <w:lang w:val="en-US"/>
        </w:rPr>
      </w:pPr>
      <w:r>
        <w:rPr>
          <w:rFonts w:hint="eastAsia" w:ascii="仿宋" w:hAnsi="仿宋" w:eastAsia="仿宋" w:cs="仿宋"/>
          <w:sz w:val="24"/>
          <w:szCs w:val="24"/>
          <w:lang w:val="en-US"/>
        </w:rPr>
        <w:t>通过对系统的管理，用户可以灵活设置具有不同权限的角色，并能将这些角色灵活地赋予不同的用户，以实现权限的灵活发放与管理。</w:t>
      </w:r>
    </w:p>
    <w:p>
      <w:pPr>
        <w:pStyle w:val="2"/>
        <w:spacing w:line="360" w:lineRule="auto"/>
        <w:ind w:firstLine="480" w:firstLineChars="200"/>
        <w:rPr>
          <w:rFonts w:ascii="仿宋" w:hAnsi="仿宋" w:eastAsia="仿宋" w:cs="仿宋"/>
          <w:sz w:val="24"/>
          <w:szCs w:val="24"/>
          <w:lang w:val="en-US"/>
        </w:rPr>
      </w:pPr>
      <w:r>
        <w:rPr>
          <w:rFonts w:hint="eastAsia" w:ascii="仿宋" w:hAnsi="仿宋" w:eastAsia="仿宋" w:cs="仿宋"/>
          <w:sz w:val="24"/>
          <w:szCs w:val="24"/>
          <w:lang w:val="en-US"/>
        </w:rPr>
        <w:t>7.系统公告</w:t>
      </w:r>
    </w:p>
    <w:p>
      <w:pPr>
        <w:pStyle w:val="2"/>
        <w:spacing w:line="360" w:lineRule="auto"/>
        <w:ind w:firstLine="480" w:firstLineChars="200"/>
        <w:rPr>
          <w:rFonts w:ascii="仿宋" w:hAnsi="仿宋" w:eastAsia="仿宋" w:cs="仿宋"/>
          <w:sz w:val="24"/>
          <w:szCs w:val="24"/>
          <w:lang w:val="en-US"/>
        </w:rPr>
      </w:pPr>
      <w:r>
        <w:rPr>
          <w:rFonts w:hint="eastAsia" w:ascii="仿宋" w:hAnsi="仿宋" w:eastAsia="仿宋" w:cs="仿宋"/>
          <w:sz w:val="24"/>
          <w:szCs w:val="24"/>
          <w:lang w:val="en-US"/>
        </w:rPr>
        <w:t>实现对各级法院管理人员进行内容通告并提供下载相应文件，相关人员可以及时进行阅览及下载。</w:t>
      </w:r>
    </w:p>
    <w:p>
      <w:pPr>
        <w:pStyle w:val="2"/>
        <w:spacing w:line="360" w:lineRule="auto"/>
        <w:ind w:firstLine="480" w:firstLineChars="200"/>
        <w:rPr>
          <w:rFonts w:ascii="仿宋" w:hAnsi="仿宋" w:eastAsia="仿宋" w:cs="仿宋"/>
          <w:sz w:val="24"/>
          <w:szCs w:val="24"/>
          <w:lang w:val="en-US"/>
        </w:rPr>
      </w:pPr>
      <w:r>
        <w:rPr>
          <w:rFonts w:hint="eastAsia" w:ascii="仿宋" w:hAnsi="仿宋" w:eastAsia="仿宋" w:cs="仿宋"/>
          <w:sz w:val="24"/>
          <w:szCs w:val="24"/>
          <w:lang w:val="en-US"/>
        </w:rPr>
        <w:t>8.微人事</w:t>
      </w:r>
    </w:p>
    <w:p>
      <w:pPr>
        <w:pStyle w:val="2"/>
        <w:spacing w:line="360" w:lineRule="auto"/>
        <w:ind w:firstLine="480" w:firstLineChars="200"/>
        <w:rPr>
          <w:rFonts w:ascii="仿宋" w:hAnsi="仿宋" w:eastAsia="仿宋" w:cs="仿宋"/>
          <w:sz w:val="24"/>
          <w:szCs w:val="24"/>
          <w:lang w:val="en-US"/>
        </w:rPr>
      </w:pPr>
      <w:r>
        <w:rPr>
          <w:rFonts w:hint="eastAsia" w:ascii="仿宋" w:hAnsi="仿宋" w:eastAsia="仿宋" w:cs="仿宋"/>
          <w:sz w:val="24"/>
          <w:szCs w:val="24"/>
          <w:lang w:val="en-US"/>
        </w:rPr>
        <w:t>通过与北明微法院干警端做单点登录集成，提供高级查询功能，定义常用查询指标，并可自行组合查询数据，展现干部人事信息，提供干部任免审批表的查看。</w:t>
      </w:r>
    </w:p>
    <w:p>
      <w:pPr>
        <w:pStyle w:val="2"/>
        <w:spacing w:line="360" w:lineRule="auto"/>
        <w:ind w:firstLine="480" w:firstLineChars="200"/>
        <w:rPr>
          <w:rFonts w:ascii="仿宋" w:hAnsi="仿宋" w:eastAsia="仿宋" w:cs="仿宋"/>
          <w:sz w:val="24"/>
          <w:szCs w:val="24"/>
          <w:lang w:val="en-US"/>
        </w:rPr>
      </w:pPr>
      <w:r>
        <w:rPr>
          <w:rFonts w:hint="eastAsia" w:ascii="仿宋" w:hAnsi="仿宋" w:eastAsia="仿宋" w:cs="仿宋"/>
          <w:sz w:val="24"/>
          <w:szCs w:val="24"/>
          <w:lang w:val="en-US"/>
        </w:rPr>
        <w:t>9.信息预警</w:t>
      </w:r>
    </w:p>
    <w:p>
      <w:pPr>
        <w:pStyle w:val="2"/>
        <w:spacing w:line="360" w:lineRule="auto"/>
        <w:ind w:firstLine="480" w:firstLineChars="200"/>
        <w:rPr>
          <w:rFonts w:ascii="仿宋" w:hAnsi="仿宋" w:eastAsia="仿宋" w:cs="仿宋"/>
          <w:sz w:val="24"/>
          <w:szCs w:val="24"/>
          <w:lang w:val="en-US"/>
        </w:rPr>
      </w:pPr>
      <w:r>
        <w:rPr>
          <w:rFonts w:hint="eastAsia" w:ascii="仿宋" w:hAnsi="仿宋" w:eastAsia="仿宋" w:cs="仿宋"/>
          <w:sz w:val="24"/>
          <w:szCs w:val="24"/>
          <w:lang w:val="en-US"/>
        </w:rPr>
        <w:t>通过预警提示实现对机构人员信息不合理或不符合规定内容进行提示，让相关人员可以及时进行修改。</w:t>
      </w:r>
    </w:p>
    <w:p>
      <w:pPr>
        <w:pStyle w:val="2"/>
        <w:spacing w:line="360" w:lineRule="auto"/>
        <w:ind w:firstLine="480" w:firstLineChars="200"/>
        <w:rPr>
          <w:rFonts w:ascii="仿宋" w:hAnsi="仿宋" w:eastAsia="仿宋" w:cs="仿宋"/>
          <w:sz w:val="24"/>
          <w:szCs w:val="24"/>
          <w:lang w:val="en-US"/>
        </w:rPr>
      </w:pPr>
      <w:r>
        <w:rPr>
          <w:rFonts w:hint="eastAsia" w:ascii="仿宋" w:hAnsi="仿宋" w:eastAsia="仿宋" w:cs="仿宋"/>
          <w:sz w:val="24"/>
          <w:szCs w:val="24"/>
          <w:lang w:val="en-US"/>
        </w:rPr>
        <w:t>10.数据对接</w:t>
      </w:r>
    </w:p>
    <w:p>
      <w:pPr>
        <w:pStyle w:val="2"/>
        <w:spacing w:line="360" w:lineRule="auto"/>
        <w:ind w:firstLine="480" w:firstLineChars="200"/>
        <w:rPr>
          <w:rFonts w:ascii="仿宋" w:hAnsi="仿宋" w:eastAsia="仿宋" w:cs="仿宋"/>
          <w:sz w:val="24"/>
          <w:szCs w:val="24"/>
          <w:lang w:val="en-US"/>
        </w:rPr>
      </w:pPr>
      <w:r>
        <w:rPr>
          <w:rFonts w:hint="eastAsia" w:ascii="仿宋" w:hAnsi="仿宋" w:eastAsia="仿宋" w:cs="仿宋"/>
          <w:sz w:val="24"/>
          <w:szCs w:val="24"/>
          <w:lang w:val="en-US"/>
        </w:rPr>
        <w:t>通过接口使相关法警系统、老干部管理系统、地方法院人事管理系统等读取人事系统中现有信息来补充数据或完成相应业务。</w:t>
      </w:r>
    </w:p>
    <w:p>
      <w:pPr>
        <w:keepNext/>
        <w:keepLines/>
        <w:autoSpaceDE w:val="0"/>
        <w:autoSpaceDN w:val="0"/>
        <w:adjustRightInd w:val="0"/>
        <w:spacing w:line="360" w:lineRule="auto"/>
        <w:ind w:firstLine="562" w:firstLineChars="200"/>
        <w:outlineLvl w:val="1"/>
        <w:rPr>
          <w:rFonts w:ascii="仿宋" w:hAnsi="仿宋" w:eastAsia="仿宋" w:cs="仿宋"/>
          <w:b/>
          <w:bCs/>
          <w:sz w:val="28"/>
          <w:szCs w:val="28"/>
        </w:rPr>
      </w:pPr>
      <w:r>
        <w:rPr>
          <w:rFonts w:hint="eastAsia" w:ascii="仿宋" w:hAnsi="仿宋" w:eastAsia="仿宋" w:cs="仿宋"/>
          <w:b/>
          <w:bCs/>
          <w:sz w:val="28"/>
          <w:szCs w:val="28"/>
        </w:rPr>
        <w:t>三、运维主要工作</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1.解答全省法院系统使用人员问题。主要包括人员信息维护及查询统计方法，业务办理操作步骤，人员信息选项说明，及后台调整人员误操作数据等。</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2.处理最高院数据传输事务，按照最高院数据核查要求，调整系统内人员信息校验预警，用于提醒业务人员完善人员信息，并协同处理调整信息产生的操作及业务问题。</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3.定期检查数据库备份，目前数据库为本地部署，备份周期为每天备份，备份文件保存一周，运维人员每周检查一次数据备份情况。</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4.修改信息库，按照三定方案调整法院或法院内设机构，调整人员信息项，如增加专业名称、职务名称等选项。</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5.更新微人事数据，每个月中旬需要手工将部分数据同步至微人事。</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6.按需求在人事系统中增加人事业务表、数据报表、花名册等表单，设计业务报批流程节点。</w:t>
      </w:r>
    </w:p>
    <w:p>
      <w:pPr>
        <w:keepNext/>
        <w:keepLines/>
        <w:autoSpaceDE w:val="0"/>
        <w:autoSpaceDN w:val="0"/>
        <w:adjustRightInd w:val="0"/>
        <w:spacing w:line="360" w:lineRule="auto"/>
        <w:ind w:firstLine="562" w:firstLineChars="200"/>
        <w:outlineLvl w:val="1"/>
        <w:rPr>
          <w:lang w:val="en-US"/>
        </w:rPr>
      </w:pPr>
      <w:r>
        <w:rPr>
          <w:rFonts w:hint="eastAsia" w:ascii="仿宋" w:hAnsi="仿宋" w:eastAsia="仿宋" w:cs="仿宋"/>
          <w:b/>
          <w:bCs/>
          <w:sz w:val="28"/>
          <w:szCs w:val="28"/>
        </w:rPr>
        <w:t>四、其他服务要求</w:t>
      </w:r>
    </w:p>
    <w:p>
      <w:pPr>
        <w:pStyle w:val="30"/>
        <w:spacing w:line="360" w:lineRule="auto"/>
        <w:ind w:firstLine="480"/>
        <w:textAlignment w:val="baseline"/>
        <w:rPr>
          <w:rFonts w:ascii="仿宋" w:hAnsi="仿宋" w:eastAsia="仿宋" w:cs="仿宋"/>
          <w:bCs/>
          <w:color w:val="000000" w:themeColor="text1"/>
          <w:sz w:val="24"/>
          <w:szCs w:val="24"/>
          <w14:textFill>
            <w14:solidFill>
              <w14:schemeClr w14:val="tx1"/>
            </w14:solidFill>
          </w14:textFill>
        </w:rPr>
      </w:pPr>
      <w:r>
        <w:rPr>
          <w:rFonts w:hint="eastAsia" w:ascii="仿宋" w:hAnsi="仿宋" w:eastAsia="仿宋" w:cs="仿宋"/>
          <w:bCs/>
          <w:sz w:val="24"/>
          <w:szCs w:val="24"/>
        </w:rPr>
        <w:t>1、服务期限：24个月(合同一签2年)。</w:t>
      </w:r>
    </w:p>
    <w:p>
      <w:pPr>
        <w:pStyle w:val="30"/>
        <w:spacing w:line="360" w:lineRule="auto"/>
        <w:ind w:firstLine="480"/>
        <w:textAlignment w:val="baseline"/>
        <w:rPr>
          <w:rFonts w:ascii="仿宋" w:hAnsi="仿宋" w:eastAsia="仿宋" w:cs="仿宋"/>
          <w:bCs/>
          <w:sz w:val="24"/>
          <w:szCs w:val="24"/>
        </w:rPr>
      </w:pPr>
      <w:r>
        <w:rPr>
          <w:rFonts w:hint="eastAsia" w:ascii="仿宋" w:hAnsi="仿宋" w:eastAsia="仿宋" w:cs="仿宋"/>
          <w:bCs/>
          <w:sz w:val="24"/>
          <w:szCs w:val="24"/>
        </w:rPr>
        <w:t>2、付款条件：合同签订后支付50%合同款，服务期满前支付50%（根据政策调整，甲方可终止第二年服务合同，服务费用按照实际服务月份结算）。</w:t>
      </w:r>
    </w:p>
    <w:p>
      <w:pPr>
        <w:pStyle w:val="30"/>
        <w:spacing w:line="360" w:lineRule="auto"/>
        <w:ind w:firstLine="482"/>
        <w:textAlignment w:val="baseline"/>
        <w:rPr>
          <w:rFonts w:ascii="仿宋" w:hAnsi="仿宋" w:eastAsia="仿宋" w:cs="仿宋"/>
          <w:b/>
          <w:i/>
          <w:iCs/>
          <w:sz w:val="24"/>
          <w:szCs w:val="24"/>
          <w:u w:val="single"/>
        </w:rPr>
      </w:pPr>
      <w:r>
        <w:rPr>
          <w:rFonts w:hint="eastAsia" w:ascii="仿宋" w:hAnsi="仿宋" w:eastAsia="仿宋" w:cs="仿宋"/>
          <w:b/>
          <w:i/>
          <w:iCs/>
          <w:sz w:val="24"/>
          <w:szCs w:val="24"/>
          <w:u w:val="single"/>
        </w:rPr>
        <w:t>3、所有报价、承诺事项及重要证明文件均须加盖公司公章。</w:t>
      </w:r>
    </w:p>
    <w:p>
      <w:pPr>
        <w:pStyle w:val="2"/>
        <w:rPr>
          <w:lang w:val="en-US"/>
        </w:rPr>
      </w:pPr>
    </w:p>
    <w:p/>
    <w:p>
      <w:pPr>
        <w:pStyle w:val="42"/>
        <w:pageBreakBefore/>
        <w:spacing w:after="312" w:line="360" w:lineRule="auto"/>
        <w:textAlignment w:val="baseline"/>
        <w:rPr>
          <w:rFonts w:ascii="仿宋" w:hAnsi="仿宋" w:eastAsia="仿宋" w:cs="仿宋"/>
          <w:color w:val="000000"/>
          <w:sz w:val="40"/>
        </w:rPr>
      </w:pPr>
      <w:bookmarkStart w:id="78" w:name="_Toc21863"/>
      <w:bookmarkStart w:id="79" w:name="_Toc5010"/>
      <w:bookmarkStart w:id="80" w:name="_Toc26678"/>
      <w:bookmarkStart w:id="81" w:name="_Toc8993"/>
      <w:bookmarkStart w:id="82" w:name="_Toc25170483"/>
      <w:r>
        <w:rPr>
          <w:rFonts w:hint="eastAsia" w:ascii="仿宋" w:hAnsi="仿宋" w:eastAsia="仿宋" w:cs="仿宋"/>
          <w:color w:val="000000"/>
          <w:sz w:val="40"/>
        </w:rPr>
        <w:t>第五章  评审方法与评审标准</w:t>
      </w:r>
      <w:bookmarkEnd w:id="76"/>
      <w:bookmarkEnd w:id="77"/>
      <w:bookmarkEnd w:id="78"/>
      <w:bookmarkEnd w:id="79"/>
      <w:bookmarkEnd w:id="80"/>
      <w:bookmarkEnd w:id="81"/>
      <w:bookmarkEnd w:id="82"/>
    </w:p>
    <w:p>
      <w:pPr>
        <w:pStyle w:val="45"/>
        <w:numPr>
          <w:ilvl w:val="255"/>
          <w:numId w:val="0"/>
        </w:numPr>
        <w:spacing w:line="360" w:lineRule="auto"/>
        <w:jc w:val="both"/>
        <w:textAlignment w:val="baseline"/>
        <w:rPr>
          <w:rFonts w:ascii="仿宋" w:hAnsi="仿宋" w:eastAsia="仿宋" w:cs="仿宋"/>
          <w:kern w:val="0"/>
        </w:rPr>
      </w:pPr>
      <w:bookmarkStart w:id="83" w:name="_Toc32698"/>
      <w:bookmarkStart w:id="84" w:name="_Toc30519"/>
      <w:bookmarkStart w:id="85" w:name="_Toc13849"/>
      <w:bookmarkStart w:id="86" w:name="_Toc4442"/>
      <w:bookmarkStart w:id="87" w:name="_Toc11814"/>
      <w:bookmarkStart w:id="88" w:name="_Toc3128"/>
      <w:bookmarkStart w:id="89" w:name="_Toc23395"/>
      <w:bookmarkStart w:id="90" w:name="_Toc2852"/>
      <w:bookmarkStart w:id="91" w:name="_Toc18737"/>
      <w:bookmarkStart w:id="92" w:name="_Toc28964"/>
      <w:bookmarkStart w:id="93" w:name="_Toc11610"/>
      <w:bookmarkStart w:id="94" w:name="_Toc12716_WPSOffice_Level2"/>
      <w:bookmarkStart w:id="95" w:name="_Toc30940"/>
      <w:bookmarkStart w:id="96" w:name="_Toc24009"/>
      <w:bookmarkStart w:id="97" w:name="_Toc8457"/>
      <w:bookmarkStart w:id="98" w:name="_Toc273"/>
      <w:bookmarkStart w:id="99" w:name="_Toc324237157"/>
      <w:r>
        <w:rPr>
          <w:rFonts w:hint="eastAsia" w:ascii="仿宋" w:hAnsi="仿宋" w:eastAsia="仿宋" w:cs="仿宋"/>
          <w:kern w:val="0"/>
        </w:rPr>
        <w:t>一、评审方法与评审原则</w:t>
      </w:r>
      <w:bookmarkEnd w:id="83"/>
      <w:bookmarkEnd w:id="84"/>
      <w:bookmarkEnd w:id="85"/>
      <w:bookmarkEnd w:id="86"/>
      <w:bookmarkEnd w:id="87"/>
      <w:bookmarkEnd w:id="88"/>
      <w:bookmarkEnd w:id="89"/>
      <w:bookmarkEnd w:id="90"/>
      <w:bookmarkEnd w:id="91"/>
      <w:bookmarkEnd w:id="92"/>
      <w:bookmarkEnd w:id="93"/>
      <w:bookmarkEnd w:id="94"/>
      <w:bookmarkEnd w:id="95"/>
      <w:bookmarkEnd w:id="96"/>
    </w:p>
    <w:p>
      <w:pPr>
        <w:snapToGrid w:val="0"/>
        <w:spacing w:line="360" w:lineRule="auto"/>
        <w:ind w:firstLine="480" w:firstLineChars="200"/>
        <w:textAlignment w:val="baseline"/>
        <w:rPr>
          <w:rFonts w:ascii="仿宋" w:hAnsi="仿宋" w:eastAsia="仿宋" w:cs="仿宋"/>
          <w:sz w:val="24"/>
          <w:szCs w:val="24"/>
          <w:lang w:val="zh-CN"/>
        </w:rPr>
      </w:pPr>
      <w:bookmarkStart w:id="100" w:name="_Toc22546"/>
      <w:bookmarkStart w:id="101" w:name="_Toc24013"/>
      <w:bookmarkStart w:id="102" w:name="_Toc21264"/>
      <w:bookmarkStart w:id="103" w:name="_Toc10987"/>
      <w:bookmarkStart w:id="104" w:name="_Toc7630"/>
      <w:bookmarkStart w:id="105" w:name="_Toc23769"/>
      <w:bookmarkStart w:id="106" w:name="_Toc2924"/>
      <w:bookmarkStart w:id="107" w:name="_Toc27122"/>
      <w:bookmarkStart w:id="108" w:name="_Toc26332"/>
      <w:bookmarkStart w:id="109" w:name="_Toc28718"/>
      <w:bookmarkStart w:id="110" w:name="_Toc10020_WPSOffice_Level2"/>
      <w:bookmarkStart w:id="111" w:name="_Toc12196"/>
      <w:bookmarkStart w:id="112" w:name="_Toc18177"/>
      <w:bookmarkStart w:id="113" w:name="_Toc1171"/>
      <w:r>
        <w:rPr>
          <w:rFonts w:hint="eastAsia" w:ascii="仿宋" w:hAnsi="仿宋" w:eastAsia="仿宋" w:cs="仿宋"/>
          <w:sz w:val="24"/>
          <w:szCs w:val="24"/>
          <w:lang w:val="zh-CN"/>
        </w:rPr>
        <w:t>磋商小组将对确定为实质性响应采购文件要求的响应文件进行评价和比较，评审采用综合评分法。采用综合评分法的，评审结果按评审后得分由高到低顺序排列。得分相同的，按磋商</w:t>
      </w:r>
      <w:r>
        <w:rPr>
          <w:rFonts w:hint="eastAsia" w:ascii="仿宋" w:hAnsi="仿宋" w:eastAsia="仿宋" w:cs="仿宋"/>
          <w:sz w:val="24"/>
          <w:szCs w:val="24"/>
        </w:rPr>
        <w:t>最终</w:t>
      </w:r>
      <w:r>
        <w:rPr>
          <w:rFonts w:hint="eastAsia" w:ascii="仿宋" w:hAnsi="仿宋" w:eastAsia="仿宋" w:cs="仿宋"/>
          <w:sz w:val="24"/>
          <w:szCs w:val="24"/>
          <w:lang w:val="zh-CN"/>
        </w:rPr>
        <w:t>报价由低到高顺序排列。得分且磋商</w:t>
      </w:r>
      <w:r>
        <w:rPr>
          <w:rFonts w:hint="eastAsia" w:ascii="仿宋" w:hAnsi="仿宋" w:eastAsia="仿宋" w:cs="仿宋"/>
          <w:sz w:val="24"/>
          <w:szCs w:val="24"/>
        </w:rPr>
        <w:t>最终</w:t>
      </w:r>
      <w:r>
        <w:rPr>
          <w:rFonts w:hint="eastAsia" w:ascii="仿宋" w:hAnsi="仿宋" w:eastAsia="仿宋" w:cs="仿宋"/>
          <w:sz w:val="24"/>
          <w:szCs w:val="24"/>
          <w:lang w:val="zh-CN"/>
        </w:rPr>
        <w:t>报价相同的</w:t>
      </w:r>
      <w:r>
        <w:rPr>
          <w:rFonts w:hint="eastAsia" w:ascii="仿宋" w:hAnsi="仿宋" w:eastAsia="仿宋" w:cs="仿宋"/>
          <w:sz w:val="24"/>
          <w:szCs w:val="24"/>
        </w:rPr>
        <w:t>按服务方案得分由高到低排列</w:t>
      </w:r>
      <w:r>
        <w:rPr>
          <w:rFonts w:hint="eastAsia" w:ascii="仿宋" w:hAnsi="仿宋" w:eastAsia="仿宋" w:cs="仿宋"/>
          <w:sz w:val="24"/>
          <w:szCs w:val="24"/>
          <w:lang w:val="zh-CN"/>
        </w:rPr>
        <w:t>。响应文件满足磋商文件全部实质性要求，且按照评审因素的量化指标评审得分由高到低按顺序推荐3名成交候选人，由采购人确定1名成交供应商。具体打分办法如下：</w:t>
      </w:r>
    </w:p>
    <w:p>
      <w:pPr>
        <w:pStyle w:val="45"/>
        <w:numPr>
          <w:ilvl w:val="0"/>
          <w:numId w:val="7"/>
        </w:numPr>
        <w:spacing w:line="360" w:lineRule="auto"/>
        <w:ind w:left="0" w:firstLine="0"/>
        <w:jc w:val="both"/>
        <w:textAlignment w:val="baseline"/>
        <w:rPr>
          <w:rFonts w:ascii="仿宋" w:hAnsi="仿宋" w:eastAsia="仿宋" w:cs="仿宋"/>
          <w:kern w:val="0"/>
        </w:rPr>
      </w:pPr>
      <w:bookmarkStart w:id="114" w:name="_Toc26843"/>
      <w:r>
        <w:rPr>
          <w:rFonts w:hint="eastAsia" w:ascii="仿宋" w:hAnsi="仿宋" w:eastAsia="仿宋" w:cs="仿宋"/>
          <w:kern w:val="0"/>
        </w:rPr>
        <w:t>评审标准</w:t>
      </w:r>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r>
        <w:rPr>
          <w:rFonts w:hint="eastAsia" w:ascii="仿宋" w:hAnsi="仿宋" w:eastAsia="仿宋" w:cs="仿宋"/>
          <w:kern w:val="0"/>
        </w:rPr>
        <w:tab/>
      </w:r>
    </w:p>
    <w:tbl>
      <w:tblPr>
        <w:tblStyle w:val="31"/>
        <w:tblW w:w="10200" w:type="dxa"/>
        <w:tblInd w:w="108" w:type="dxa"/>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
      <w:tblGrid>
        <w:gridCol w:w="1245"/>
        <w:gridCol w:w="7486"/>
        <w:gridCol w:w="1469"/>
      </w:tblGrid>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71" w:hRule="atLeast"/>
        </w:trPr>
        <w:tc>
          <w:tcPr>
            <w:tcW w:w="1245" w:type="dxa"/>
            <w:tcBorders>
              <w:top w:val="single" w:color="auto" w:sz="4" w:space="0"/>
              <w:left w:val="single" w:color="auto" w:sz="4" w:space="0"/>
              <w:bottom w:val="single" w:color="auto" w:sz="4" w:space="0"/>
              <w:right w:val="single" w:color="auto" w:sz="4" w:space="0"/>
            </w:tcBorders>
            <w:vAlign w:val="center"/>
          </w:tcPr>
          <w:p>
            <w:pPr>
              <w:snapToGrid w:val="0"/>
              <w:spacing w:line="0" w:lineRule="atLeast"/>
              <w:jc w:val="center"/>
              <w:textAlignment w:val="baseline"/>
              <w:rPr>
                <w:rFonts w:ascii="仿宋" w:hAnsi="仿宋" w:eastAsia="仿宋" w:cs="仿宋"/>
                <w:bCs/>
                <w:color w:val="000000"/>
                <w:sz w:val="24"/>
                <w:szCs w:val="24"/>
              </w:rPr>
            </w:pPr>
            <w:r>
              <w:rPr>
                <w:rFonts w:hint="eastAsia" w:ascii="仿宋" w:hAnsi="仿宋" w:eastAsia="仿宋" w:cs="仿宋"/>
                <w:bCs/>
                <w:color w:val="000000"/>
                <w:sz w:val="24"/>
                <w:szCs w:val="24"/>
              </w:rPr>
              <w:t>评分</w:t>
            </w:r>
          </w:p>
          <w:p>
            <w:pPr>
              <w:snapToGrid w:val="0"/>
              <w:spacing w:line="0" w:lineRule="atLeast"/>
              <w:jc w:val="center"/>
              <w:textAlignment w:val="baseline"/>
              <w:rPr>
                <w:rFonts w:ascii="仿宋" w:hAnsi="仿宋" w:eastAsia="仿宋" w:cs="仿宋"/>
                <w:bCs/>
                <w:color w:val="000000"/>
                <w:sz w:val="24"/>
                <w:szCs w:val="24"/>
              </w:rPr>
            </w:pPr>
            <w:r>
              <w:rPr>
                <w:rFonts w:hint="eastAsia" w:ascii="仿宋" w:hAnsi="仿宋" w:eastAsia="仿宋" w:cs="仿宋"/>
                <w:bCs/>
                <w:color w:val="000000"/>
                <w:sz w:val="24"/>
                <w:szCs w:val="24"/>
              </w:rPr>
              <w:t>项目</w:t>
            </w:r>
          </w:p>
        </w:tc>
        <w:tc>
          <w:tcPr>
            <w:tcW w:w="7486" w:type="dxa"/>
            <w:tcBorders>
              <w:top w:val="single" w:color="auto" w:sz="4" w:space="0"/>
              <w:left w:val="nil"/>
              <w:bottom w:val="single" w:color="auto" w:sz="4" w:space="0"/>
              <w:right w:val="single" w:color="auto" w:sz="4" w:space="0"/>
            </w:tcBorders>
            <w:vAlign w:val="center"/>
          </w:tcPr>
          <w:p>
            <w:pPr>
              <w:snapToGrid w:val="0"/>
              <w:spacing w:line="0" w:lineRule="atLeast"/>
              <w:jc w:val="center"/>
              <w:textAlignment w:val="baseline"/>
              <w:rPr>
                <w:rFonts w:ascii="仿宋" w:hAnsi="仿宋" w:eastAsia="仿宋" w:cs="仿宋"/>
                <w:bCs/>
                <w:color w:val="000000"/>
                <w:sz w:val="24"/>
                <w:szCs w:val="24"/>
              </w:rPr>
            </w:pPr>
            <w:r>
              <w:rPr>
                <w:rFonts w:hint="eastAsia" w:ascii="仿宋" w:hAnsi="仿宋" w:eastAsia="仿宋" w:cs="仿宋"/>
                <w:bCs/>
                <w:color w:val="000000"/>
                <w:sz w:val="24"/>
                <w:szCs w:val="24"/>
              </w:rPr>
              <w:t>评分标准</w:t>
            </w:r>
          </w:p>
        </w:tc>
        <w:tc>
          <w:tcPr>
            <w:tcW w:w="1469" w:type="dxa"/>
            <w:tcBorders>
              <w:top w:val="single" w:color="auto" w:sz="4" w:space="0"/>
              <w:left w:val="nil"/>
              <w:bottom w:val="single" w:color="auto" w:sz="4" w:space="0"/>
              <w:right w:val="single" w:color="auto" w:sz="4" w:space="0"/>
            </w:tcBorders>
            <w:vAlign w:val="center"/>
          </w:tcPr>
          <w:p>
            <w:pPr>
              <w:snapToGrid w:val="0"/>
              <w:spacing w:line="0" w:lineRule="atLeast"/>
              <w:jc w:val="center"/>
              <w:textAlignment w:val="baseline"/>
              <w:rPr>
                <w:rFonts w:ascii="仿宋" w:hAnsi="仿宋" w:eastAsia="仿宋" w:cs="仿宋"/>
                <w:bCs/>
                <w:color w:val="000000"/>
                <w:sz w:val="24"/>
                <w:szCs w:val="24"/>
              </w:rPr>
            </w:pPr>
            <w:r>
              <w:rPr>
                <w:rFonts w:hint="eastAsia" w:ascii="仿宋" w:hAnsi="仿宋" w:eastAsia="仿宋" w:cs="仿宋"/>
                <w:bCs/>
                <w:color w:val="000000"/>
                <w:sz w:val="24"/>
                <w:szCs w:val="24"/>
              </w:rPr>
              <w:t>得分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0" w:hRule="atLeast"/>
        </w:trPr>
        <w:tc>
          <w:tcPr>
            <w:tcW w:w="1245" w:type="dxa"/>
            <w:tcBorders>
              <w:top w:val="nil"/>
              <w:left w:val="single" w:color="auto" w:sz="4" w:space="0"/>
              <w:bottom w:val="single" w:color="auto" w:sz="4" w:space="0"/>
              <w:right w:val="single" w:color="auto" w:sz="4" w:space="0"/>
            </w:tcBorders>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价格分</w:t>
            </w:r>
          </w:p>
        </w:tc>
        <w:tc>
          <w:tcPr>
            <w:tcW w:w="7486" w:type="dxa"/>
            <w:tcBorders>
              <w:top w:val="nil"/>
              <w:left w:val="nil"/>
              <w:bottom w:val="single" w:color="auto" w:sz="4" w:space="0"/>
              <w:right w:val="single" w:color="auto" w:sz="4" w:space="0"/>
            </w:tcBorders>
            <w:vAlign w:val="center"/>
          </w:tcPr>
          <w:p>
            <w:pPr>
              <w:tabs>
                <w:tab w:val="left" w:pos="2520"/>
              </w:tabs>
              <w:snapToGrid w:val="0"/>
              <w:spacing w:line="0" w:lineRule="atLeast"/>
              <w:jc w:val="left"/>
              <w:textAlignment w:val="baseline"/>
              <w:rPr>
                <w:rFonts w:ascii="仿宋" w:hAnsi="仿宋" w:eastAsia="仿宋" w:cs="仿宋"/>
                <w:color w:val="000000"/>
                <w:sz w:val="24"/>
                <w:szCs w:val="24"/>
              </w:rPr>
            </w:pPr>
            <w:r>
              <w:rPr>
                <w:rFonts w:hint="eastAsia" w:ascii="仿宋" w:hAnsi="仿宋" w:eastAsia="仿宋" w:cs="仿宋"/>
                <w:sz w:val="24"/>
                <w:szCs w:val="24"/>
              </w:rPr>
              <w:t>价格分采用低价优先法计算，即满足磋商文件要求且最终报价最低的供应商报价为评标基准价，其价格分为满分1</w:t>
            </w:r>
            <w:r>
              <w:rPr>
                <w:rFonts w:ascii="仿宋" w:hAnsi="仿宋" w:eastAsia="仿宋" w:cs="仿宋"/>
                <w:sz w:val="24"/>
                <w:szCs w:val="24"/>
              </w:rPr>
              <w:t>0</w:t>
            </w:r>
            <w:r>
              <w:rPr>
                <w:rFonts w:hint="eastAsia" w:ascii="仿宋" w:hAnsi="仿宋" w:eastAsia="仿宋" w:cs="仿宋"/>
                <w:sz w:val="24"/>
                <w:szCs w:val="24"/>
              </w:rPr>
              <w:t xml:space="preserve"> 分，其它供应商的价格分统一按照以下公式计算：报价得分=(评审基准价/该供应商的最终报价)×1</w:t>
            </w:r>
            <w:r>
              <w:rPr>
                <w:rFonts w:ascii="仿宋" w:hAnsi="仿宋" w:eastAsia="仿宋" w:cs="仿宋"/>
                <w:sz w:val="24"/>
                <w:szCs w:val="24"/>
              </w:rPr>
              <w:t>0</w:t>
            </w:r>
            <w:r>
              <w:rPr>
                <w:rFonts w:hint="eastAsia" w:ascii="仿宋" w:hAnsi="仿宋" w:eastAsia="仿宋" w:cs="仿宋"/>
                <w:sz w:val="24"/>
                <w:szCs w:val="24"/>
              </w:rPr>
              <w:t xml:space="preserve">分。分值保留小数点后2位。评审委员会认为供应商的报价明显低于其他通过符合性审查供应商的报价，有可能影响产品质量或者不能诚信履约的，要求其在评审现场合理的时间内提供书面说明，必要时提交相关证明材料；供应商不能证明其报价合理性的，将其作为无效响应处理。 </w:t>
            </w:r>
          </w:p>
        </w:tc>
        <w:tc>
          <w:tcPr>
            <w:tcW w:w="1469" w:type="dxa"/>
            <w:tcBorders>
              <w:top w:val="nil"/>
              <w:left w:val="nil"/>
              <w:bottom w:val="single" w:color="auto" w:sz="4" w:space="0"/>
              <w:right w:val="single" w:color="auto" w:sz="4" w:space="0"/>
            </w:tcBorders>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1</w:t>
            </w:r>
            <w:r>
              <w:rPr>
                <w:rFonts w:ascii="仿宋" w:hAnsi="仿宋" w:eastAsia="仿宋" w:cs="仿宋"/>
                <w:color w:val="000000"/>
                <w:sz w:val="24"/>
                <w:szCs w:val="24"/>
              </w:rPr>
              <w:t>0</w:t>
            </w:r>
            <w:r>
              <w:rPr>
                <w:rFonts w:hint="eastAsia" w:ascii="仿宋" w:hAnsi="仿宋" w:eastAsia="仿宋" w:cs="仿宋"/>
                <w:color w:val="000000"/>
                <w:sz w:val="24"/>
                <w:szCs w:val="24"/>
              </w:rPr>
              <w:t>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0" w:hRule="atLeast"/>
        </w:trPr>
        <w:tc>
          <w:tcPr>
            <w:tcW w:w="1245" w:type="dxa"/>
            <w:tcBorders>
              <w:top w:val="nil"/>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sz w:val="24"/>
              </w:rPr>
            </w:pPr>
            <w:r>
              <w:rPr>
                <w:rFonts w:hint="eastAsia" w:ascii="仿宋" w:hAnsi="仿宋" w:eastAsia="仿宋" w:cs="仿宋"/>
                <w:sz w:val="24"/>
              </w:rPr>
              <w:t>供应商</w:t>
            </w:r>
          </w:p>
          <w:p>
            <w:pPr>
              <w:spacing w:line="360" w:lineRule="auto"/>
              <w:jc w:val="center"/>
              <w:rPr>
                <w:rFonts w:ascii="仿宋" w:hAnsi="仿宋" w:eastAsia="仿宋" w:cs="仿宋"/>
                <w:sz w:val="24"/>
              </w:rPr>
            </w:pPr>
            <w:r>
              <w:rPr>
                <w:rFonts w:hint="eastAsia" w:ascii="仿宋" w:hAnsi="仿宋" w:eastAsia="仿宋" w:cs="仿宋"/>
                <w:sz w:val="24"/>
              </w:rPr>
              <w:t>技术</w:t>
            </w:r>
          </w:p>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sz w:val="24"/>
              </w:rPr>
              <w:t>能力</w:t>
            </w:r>
          </w:p>
        </w:tc>
        <w:tc>
          <w:tcPr>
            <w:tcW w:w="7486" w:type="dxa"/>
            <w:tcBorders>
              <w:top w:val="nil"/>
              <w:left w:val="nil"/>
              <w:bottom w:val="single" w:color="auto" w:sz="4" w:space="0"/>
              <w:right w:val="single" w:color="auto" w:sz="4" w:space="0"/>
            </w:tcBorders>
            <w:vAlign w:val="center"/>
          </w:tcPr>
          <w:p>
            <w:pPr>
              <w:tabs>
                <w:tab w:val="left" w:pos="2520"/>
              </w:tabs>
              <w:snapToGrid w:val="0"/>
              <w:spacing w:line="0" w:lineRule="atLeast"/>
              <w:jc w:val="left"/>
              <w:textAlignment w:val="baseline"/>
              <w:rPr>
                <w:rFonts w:ascii="仿宋" w:hAnsi="仿宋" w:eastAsia="仿宋" w:cs="仿宋"/>
                <w:sz w:val="24"/>
                <w:szCs w:val="24"/>
              </w:rPr>
            </w:pPr>
            <w:r>
              <w:rPr>
                <w:rFonts w:hint="eastAsia" w:ascii="仿宋" w:hAnsi="仿宋" w:eastAsia="仿宋" w:cs="仿宋"/>
                <w:sz w:val="24"/>
                <w:szCs w:val="24"/>
              </w:rPr>
              <w:t>供应商具有有效期内以下证书：</w:t>
            </w:r>
          </w:p>
          <w:p>
            <w:pPr>
              <w:tabs>
                <w:tab w:val="left" w:pos="2520"/>
              </w:tabs>
              <w:snapToGrid w:val="0"/>
              <w:spacing w:line="0" w:lineRule="atLeast"/>
              <w:jc w:val="left"/>
              <w:textAlignment w:val="baseline"/>
              <w:rPr>
                <w:rFonts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highlight w:val="none"/>
              </w:rPr>
              <w:t>供应商具有ISO9001质量管理体系认证证书、ISO27001信息安全管理体系认证证书、拥有</w:t>
            </w:r>
            <w:r>
              <w:rPr>
                <w:rFonts w:ascii="仿宋" w:hAnsi="仿宋" w:eastAsia="仿宋" w:cs="仿宋"/>
                <w:sz w:val="24"/>
                <w:szCs w:val="24"/>
                <w:highlight w:val="none"/>
              </w:rPr>
              <w:t>ISO20000</w:t>
            </w:r>
            <w:r>
              <w:rPr>
                <w:rFonts w:hint="eastAsia" w:ascii="仿宋" w:hAnsi="仿宋" w:eastAsia="仿宋" w:cs="仿宋"/>
                <w:sz w:val="24"/>
                <w:szCs w:val="24"/>
                <w:highlight w:val="none"/>
              </w:rPr>
              <w:t xml:space="preserve">服务管理体系认证证书，有一个得 </w:t>
            </w:r>
            <w:r>
              <w:rPr>
                <w:rFonts w:ascii="仿宋" w:hAnsi="仿宋" w:eastAsia="仿宋" w:cs="仿宋"/>
                <w:sz w:val="24"/>
                <w:szCs w:val="24"/>
                <w:highlight w:val="none"/>
              </w:rPr>
              <w:t>2</w:t>
            </w:r>
            <w:r>
              <w:rPr>
                <w:rFonts w:hint="eastAsia" w:ascii="仿宋" w:hAnsi="仿宋" w:eastAsia="仿宋" w:cs="仿宋"/>
                <w:sz w:val="24"/>
                <w:szCs w:val="24"/>
                <w:highlight w:val="none"/>
              </w:rPr>
              <w:t xml:space="preserve"> 分，满分 </w:t>
            </w:r>
            <w:r>
              <w:rPr>
                <w:rFonts w:ascii="仿宋" w:hAnsi="仿宋" w:eastAsia="仿宋" w:cs="仿宋"/>
                <w:sz w:val="24"/>
                <w:szCs w:val="24"/>
                <w:highlight w:val="none"/>
              </w:rPr>
              <w:t>6</w:t>
            </w:r>
            <w:r>
              <w:rPr>
                <w:rFonts w:hint="eastAsia" w:ascii="仿宋" w:hAnsi="仿宋" w:eastAsia="仿宋" w:cs="仿宋"/>
                <w:sz w:val="24"/>
                <w:szCs w:val="24"/>
                <w:highlight w:val="none"/>
              </w:rPr>
              <w:t>分；</w:t>
            </w:r>
          </w:p>
          <w:p>
            <w:pPr>
              <w:tabs>
                <w:tab w:val="left" w:pos="2520"/>
              </w:tabs>
              <w:snapToGrid w:val="0"/>
              <w:spacing w:line="0" w:lineRule="atLeast"/>
              <w:jc w:val="left"/>
              <w:textAlignment w:val="baseline"/>
              <w:rPr>
                <w:rFonts w:ascii="仿宋" w:hAnsi="仿宋" w:eastAsia="仿宋" w:cs="仿宋"/>
                <w:sz w:val="24"/>
                <w:szCs w:val="24"/>
              </w:rPr>
            </w:pPr>
            <w:r>
              <w:rPr>
                <w:rFonts w:hint="eastAsia" w:ascii="仿宋" w:hAnsi="仿宋" w:eastAsia="仿宋" w:cs="仿宋"/>
                <w:sz w:val="24"/>
                <w:szCs w:val="24"/>
                <w:highlight w:val="none"/>
              </w:rPr>
              <w:t>（</w:t>
            </w:r>
            <w:r>
              <w:rPr>
                <w:rFonts w:ascii="仿宋" w:hAnsi="仿宋" w:eastAsia="仿宋" w:cs="仿宋"/>
                <w:sz w:val="24"/>
                <w:szCs w:val="24"/>
                <w:highlight w:val="none"/>
              </w:rPr>
              <w:t>2</w:t>
            </w:r>
            <w:r>
              <w:rPr>
                <w:rFonts w:hint="eastAsia" w:ascii="仿宋" w:hAnsi="仿宋" w:eastAsia="仿宋" w:cs="仿宋"/>
                <w:sz w:val="24"/>
                <w:szCs w:val="24"/>
                <w:highlight w:val="none"/>
              </w:rPr>
              <w:t>）供应商具有国家版权局颁发的软件著作权，具有①人力资源管理；②人力资源微服务平台软件；③移动服务；④干部人事管理信息系统；⑤员工服务平台。有1个得2分，最高得</w:t>
            </w:r>
            <w:r>
              <w:rPr>
                <w:rFonts w:ascii="仿宋" w:hAnsi="仿宋" w:eastAsia="仿宋" w:cs="仿宋"/>
                <w:sz w:val="24"/>
                <w:szCs w:val="24"/>
                <w:highlight w:val="none"/>
              </w:rPr>
              <w:t>1</w:t>
            </w:r>
            <w:r>
              <w:rPr>
                <w:rFonts w:hint="eastAsia" w:ascii="仿宋" w:hAnsi="仿宋" w:eastAsia="仿宋" w:cs="仿宋"/>
                <w:sz w:val="24"/>
                <w:szCs w:val="24"/>
                <w:highlight w:val="none"/>
              </w:rPr>
              <w:t>0分。(提供证书复印件并加盖公章；如响应文件中提供的著作权名称表述与采购文件描</w:t>
            </w:r>
            <w:r>
              <w:rPr>
                <w:rFonts w:hint="eastAsia" w:ascii="仿宋" w:hAnsi="仿宋" w:eastAsia="仿宋" w:cs="仿宋"/>
                <w:sz w:val="24"/>
                <w:szCs w:val="24"/>
              </w:rPr>
              <w:t>述的关键字样不一致，而该响应文件中能证明供应商拥有的软件著作权具有相同或相似功能和效果，且评审委员会认可的，视同符合要求) 。</w:t>
            </w:r>
          </w:p>
          <w:p>
            <w:pPr>
              <w:tabs>
                <w:tab w:val="left" w:pos="2520"/>
              </w:tabs>
              <w:snapToGrid w:val="0"/>
              <w:spacing w:line="0" w:lineRule="atLeast"/>
              <w:jc w:val="left"/>
              <w:textAlignment w:val="baseline"/>
              <w:rPr>
                <w:rFonts w:ascii="仿宋" w:hAnsi="仿宋" w:cs="仿宋"/>
                <w:sz w:val="24"/>
                <w:szCs w:val="24"/>
              </w:rPr>
            </w:pPr>
            <w:r>
              <w:rPr>
                <w:rFonts w:hint="eastAsia" w:ascii="仿宋" w:hAnsi="仿宋" w:eastAsia="仿宋" w:cs="仿宋"/>
                <w:sz w:val="24"/>
                <w:szCs w:val="24"/>
              </w:rPr>
              <w:t>本项最高得</w:t>
            </w:r>
            <w:r>
              <w:rPr>
                <w:rFonts w:ascii="仿宋" w:hAnsi="仿宋" w:eastAsia="仿宋" w:cs="仿宋"/>
                <w:sz w:val="24"/>
                <w:szCs w:val="24"/>
              </w:rPr>
              <w:t>16</w:t>
            </w:r>
            <w:r>
              <w:rPr>
                <w:rFonts w:hint="eastAsia" w:ascii="仿宋" w:hAnsi="仿宋" w:eastAsia="仿宋" w:cs="仿宋"/>
                <w:sz w:val="24"/>
                <w:szCs w:val="24"/>
              </w:rPr>
              <w:t>分，提供有效期内的证书的复印件并加盖公章有效。</w:t>
            </w:r>
          </w:p>
        </w:tc>
        <w:tc>
          <w:tcPr>
            <w:tcW w:w="1469" w:type="dxa"/>
            <w:tcBorders>
              <w:top w:val="nil"/>
              <w:left w:val="nil"/>
              <w:bottom w:val="single" w:color="auto" w:sz="4" w:space="0"/>
              <w:right w:val="single" w:color="auto" w:sz="4" w:space="0"/>
            </w:tcBorders>
            <w:vAlign w:val="center"/>
          </w:tcPr>
          <w:p>
            <w:pPr>
              <w:snapToGrid w:val="0"/>
              <w:spacing w:line="0" w:lineRule="atLeast"/>
              <w:jc w:val="center"/>
              <w:textAlignment w:val="baseline"/>
              <w:rPr>
                <w:rFonts w:ascii="仿宋" w:hAnsi="仿宋" w:eastAsia="仿宋" w:cs="仿宋"/>
                <w:color w:val="000000"/>
                <w:sz w:val="24"/>
                <w:szCs w:val="24"/>
              </w:rPr>
            </w:pPr>
            <w:r>
              <w:rPr>
                <w:rFonts w:ascii="仿宋" w:hAnsi="仿宋" w:eastAsia="仿宋" w:cs="仿宋"/>
                <w:color w:val="000000"/>
                <w:sz w:val="24"/>
                <w:szCs w:val="24"/>
              </w:rPr>
              <w:t>16</w:t>
            </w:r>
            <w:r>
              <w:rPr>
                <w:rFonts w:hint="eastAsia" w:ascii="仿宋" w:hAnsi="仿宋" w:eastAsia="仿宋" w:cs="仿宋"/>
                <w:color w:val="000000"/>
                <w:sz w:val="24"/>
                <w:szCs w:val="24"/>
              </w:rPr>
              <w:t>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90" w:hRule="atLeast"/>
        </w:trPr>
        <w:tc>
          <w:tcPr>
            <w:tcW w:w="1245" w:type="dxa"/>
            <w:tcBorders>
              <w:top w:val="single" w:color="auto" w:sz="4" w:space="0"/>
              <w:left w:val="single" w:color="auto" w:sz="4" w:space="0"/>
              <w:bottom w:val="single" w:color="auto" w:sz="4" w:space="0"/>
              <w:right w:val="single" w:color="auto" w:sz="4" w:space="0"/>
            </w:tcBorders>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color w:val="000000"/>
                <w:kern w:val="0"/>
                <w:sz w:val="24"/>
                <w:szCs w:val="24"/>
              </w:rPr>
              <w:t>实施经验</w:t>
            </w:r>
          </w:p>
        </w:tc>
        <w:tc>
          <w:tcPr>
            <w:tcW w:w="7486" w:type="dxa"/>
            <w:tcBorders>
              <w:top w:val="nil"/>
              <w:left w:val="nil"/>
              <w:bottom w:val="single" w:color="auto" w:sz="4" w:space="0"/>
              <w:right w:val="single" w:color="auto" w:sz="4" w:space="0"/>
            </w:tcBorders>
            <w:vAlign w:val="center"/>
          </w:tcPr>
          <w:p>
            <w:pPr>
              <w:snapToGrid w:val="0"/>
              <w:spacing w:line="0" w:lineRule="atLeast"/>
              <w:textAlignment w:val="baseline"/>
              <w:rPr>
                <w:rFonts w:ascii="仿宋" w:hAnsi="仿宋" w:eastAsia="仿宋" w:cs="仿宋"/>
                <w:sz w:val="24"/>
                <w:szCs w:val="24"/>
                <w:highlight w:val="yellow"/>
              </w:rPr>
            </w:pPr>
            <w:r>
              <w:rPr>
                <w:rFonts w:hint="eastAsia" w:ascii="仿宋" w:hAnsi="仿宋" w:eastAsia="仿宋" w:cs="仿宋"/>
                <w:b/>
                <w:sz w:val="24"/>
                <w:szCs w:val="24"/>
              </w:rPr>
              <w:t>项目实施经验：</w:t>
            </w:r>
            <w:r>
              <w:rPr>
                <w:rFonts w:hint="eastAsia" w:ascii="仿宋" w:hAnsi="仿宋" w:eastAsia="仿宋" w:cs="仿宋"/>
                <w:sz w:val="24"/>
                <w:szCs w:val="24"/>
              </w:rPr>
              <w:t>供应商</w:t>
            </w:r>
            <w:r>
              <w:rPr>
                <w:rFonts w:hint="eastAsia" w:ascii="仿宋" w:hAnsi="仿宋" w:eastAsia="仿宋" w:cs="仿宋"/>
                <w:color w:val="000000"/>
                <w:kern w:val="0"/>
                <w:sz w:val="24"/>
                <w:szCs w:val="24"/>
              </w:rPr>
              <w:t>2020年12月1日以来</w:t>
            </w:r>
            <w:r>
              <w:rPr>
                <w:rFonts w:hint="eastAsia" w:ascii="仿宋" w:hAnsi="仿宋" w:eastAsia="仿宋" w:cs="仿宋"/>
                <w:sz w:val="24"/>
                <w:szCs w:val="24"/>
              </w:rPr>
              <w:t>，有</w:t>
            </w:r>
            <w:r>
              <w:rPr>
                <w:rFonts w:hint="eastAsia" w:ascii="仿宋" w:hAnsi="仿宋" w:eastAsia="仿宋" w:cs="仿宋"/>
                <w:color w:val="000000"/>
                <w:kern w:val="0"/>
                <w:sz w:val="24"/>
                <w:szCs w:val="24"/>
              </w:rPr>
              <w:t>承接</w:t>
            </w:r>
            <w:r>
              <w:rPr>
                <w:rFonts w:hint="eastAsia" w:ascii="仿宋" w:hAnsi="仿宋" w:eastAsia="仿宋" w:cs="仿宋"/>
                <w:sz w:val="24"/>
                <w:szCs w:val="24"/>
              </w:rPr>
              <w:t>单个合同</w:t>
            </w:r>
            <w:r>
              <w:rPr>
                <w:rFonts w:hint="eastAsia" w:ascii="仿宋" w:hAnsi="仿宋" w:eastAsia="仿宋" w:cs="仿宋"/>
                <w:color w:val="000000"/>
                <w:kern w:val="0"/>
                <w:sz w:val="24"/>
                <w:szCs w:val="24"/>
              </w:rPr>
              <w:t>（直接签订，非分包业绩）</w:t>
            </w:r>
            <w:r>
              <w:rPr>
                <w:rFonts w:hint="eastAsia" w:ascii="仿宋" w:hAnsi="仿宋" w:eastAsia="仿宋" w:cs="仿宋"/>
                <w:sz w:val="24"/>
                <w:szCs w:val="24"/>
              </w:rPr>
              <w:t>的人事管理系统项目实施经验，每提供一个</w:t>
            </w:r>
            <w:r>
              <w:rPr>
                <w:rFonts w:hint="eastAsia" w:ascii="仿宋" w:hAnsi="仿宋" w:eastAsia="仿宋" w:cs="仿宋"/>
                <w:color w:val="000000"/>
                <w:kern w:val="0"/>
                <w:sz w:val="24"/>
                <w:szCs w:val="24"/>
              </w:rPr>
              <w:t>合同</w:t>
            </w:r>
            <w:r>
              <w:rPr>
                <w:rFonts w:hint="eastAsia" w:ascii="仿宋" w:hAnsi="仿宋" w:eastAsia="仿宋" w:cs="仿宋"/>
                <w:sz w:val="24"/>
                <w:szCs w:val="24"/>
                <w:highlight w:val="none"/>
              </w:rPr>
              <w:t>得2分，最多得</w:t>
            </w:r>
            <w:r>
              <w:rPr>
                <w:rFonts w:ascii="仿宋" w:hAnsi="仿宋" w:eastAsia="仿宋" w:cs="仿宋"/>
                <w:sz w:val="24"/>
                <w:szCs w:val="24"/>
                <w:highlight w:val="none"/>
              </w:rPr>
              <w:t>10</w:t>
            </w:r>
            <w:r>
              <w:rPr>
                <w:rFonts w:hint="eastAsia" w:ascii="仿宋" w:hAnsi="仿宋" w:eastAsia="仿宋" w:cs="仿宋"/>
                <w:sz w:val="24"/>
                <w:szCs w:val="24"/>
                <w:highlight w:val="none"/>
              </w:rPr>
              <w:t>分。</w:t>
            </w:r>
          </w:p>
          <w:p>
            <w:pPr>
              <w:pStyle w:val="2"/>
              <w:rPr>
                <w:rFonts w:ascii="仿宋" w:hAnsi="仿宋" w:eastAsia="仿宋" w:cs="仿宋"/>
                <w:sz w:val="24"/>
                <w:szCs w:val="24"/>
              </w:rPr>
            </w:pPr>
            <w:r>
              <w:rPr>
                <w:rFonts w:hint="eastAsia" w:ascii="仿宋" w:hAnsi="仿宋" w:eastAsia="仿宋" w:cs="仿宋"/>
                <w:b/>
                <w:sz w:val="24"/>
                <w:szCs w:val="24"/>
              </w:rPr>
              <w:t>项目运维经验：</w:t>
            </w:r>
            <w:r>
              <w:rPr>
                <w:rFonts w:hint="eastAsia" w:ascii="仿宋" w:hAnsi="仿宋" w:eastAsia="仿宋" w:cs="仿宋"/>
                <w:sz w:val="24"/>
                <w:szCs w:val="24"/>
                <w:lang w:val="en-US"/>
              </w:rPr>
              <w:t>供应商</w:t>
            </w:r>
            <w:r>
              <w:rPr>
                <w:rFonts w:hint="eastAsia" w:ascii="仿宋" w:hAnsi="仿宋" w:eastAsia="仿宋" w:cs="仿宋"/>
                <w:color w:val="000000"/>
                <w:sz w:val="24"/>
                <w:szCs w:val="24"/>
              </w:rPr>
              <w:t>自2020年1</w:t>
            </w:r>
            <w:r>
              <w:rPr>
                <w:rFonts w:hint="eastAsia" w:ascii="仿宋" w:hAnsi="仿宋" w:eastAsia="仿宋" w:cs="仿宋"/>
                <w:color w:val="000000"/>
                <w:sz w:val="24"/>
                <w:szCs w:val="24"/>
                <w:lang w:val="en-US"/>
              </w:rPr>
              <w:t>2</w:t>
            </w:r>
            <w:r>
              <w:rPr>
                <w:rFonts w:hint="eastAsia" w:ascii="仿宋" w:hAnsi="仿宋" w:eastAsia="仿宋" w:cs="仿宋"/>
                <w:color w:val="000000"/>
                <w:sz w:val="24"/>
                <w:szCs w:val="24"/>
              </w:rPr>
              <w:t>月1日以来，</w:t>
            </w:r>
            <w:r>
              <w:rPr>
                <w:rFonts w:hint="eastAsia" w:ascii="仿宋" w:hAnsi="仿宋" w:eastAsia="仿宋" w:cs="仿宋"/>
                <w:color w:val="000000"/>
                <w:sz w:val="24"/>
                <w:szCs w:val="24"/>
                <w:lang w:val="en-US"/>
              </w:rPr>
              <w:t>有</w:t>
            </w:r>
            <w:r>
              <w:rPr>
                <w:rFonts w:hint="eastAsia" w:ascii="仿宋" w:hAnsi="仿宋" w:eastAsia="仿宋" w:cs="仿宋"/>
                <w:color w:val="000000"/>
                <w:sz w:val="24"/>
                <w:szCs w:val="24"/>
              </w:rPr>
              <w:t>承接单个合同（直接签订，非分包业绩）的</w:t>
            </w:r>
            <w:r>
              <w:rPr>
                <w:rFonts w:hint="eastAsia" w:ascii="仿宋" w:hAnsi="仿宋" w:eastAsia="仿宋" w:cs="仿宋"/>
                <w:sz w:val="24"/>
                <w:szCs w:val="24"/>
              </w:rPr>
              <w:t>人事管理系统运维项目经</w:t>
            </w:r>
            <w:r>
              <w:rPr>
                <w:rFonts w:hint="eastAsia" w:ascii="仿宋" w:hAnsi="仿宋" w:eastAsia="仿宋" w:cs="仿宋"/>
                <w:color w:val="000000"/>
                <w:sz w:val="24"/>
                <w:szCs w:val="24"/>
              </w:rPr>
              <w:t>验，</w:t>
            </w:r>
            <w:r>
              <w:rPr>
                <w:rFonts w:hint="eastAsia" w:ascii="仿宋" w:hAnsi="仿宋" w:eastAsia="仿宋" w:cs="仿宋"/>
                <w:sz w:val="24"/>
                <w:szCs w:val="24"/>
                <w:lang w:val="en-US"/>
              </w:rPr>
              <w:t>每提供一</w:t>
            </w:r>
            <w:r>
              <w:rPr>
                <w:rFonts w:hint="eastAsia" w:ascii="仿宋" w:hAnsi="仿宋" w:eastAsia="仿宋" w:cs="仿宋"/>
                <w:color w:val="000000"/>
                <w:sz w:val="24"/>
                <w:szCs w:val="24"/>
              </w:rPr>
              <w:t>个合同</w:t>
            </w:r>
            <w:r>
              <w:rPr>
                <w:rFonts w:hint="eastAsia" w:ascii="仿宋" w:hAnsi="仿宋" w:eastAsia="仿宋" w:cs="仿宋"/>
                <w:color w:val="000000"/>
                <w:sz w:val="24"/>
                <w:szCs w:val="24"/>
                <w:lang w:val="en-US"/>
              </w:rPr>
              <w:t>得</w:t>
            </w:r>
            <w:r>
              <w:rPr>
                <w:rFonts w:hint="eastAsia" w:ascii="仿宋" w:hAnsi="仿宋" w:eastAsia="仿宋" w:cs="仿宋"/>
                <w:color w:val="000000"/>
                <w:sz w:val="24"/>
                <w:szCs w:val="24"/>
                <w:highlight w:val="none"/>
                <w:lang w:val="en-US"/>
              </w:rPr>
              <w:t>2</w:t>
            </w:r>
            <w:r>
              <w:rPr>
                <w:rFonts w:hint="eastAsia" w:ascii="仿宋" w:hAnsi="仿宋" w:eastAsia="仿宋" w:cs="仿宋"/>
                <w:color w:val="000000"/>
                <w:sz w:val="24"/>
                <w:szCs w:val="24"/>
                <w:highlight w:val="none"/>
              </w:rPr>
              <w:t>分，最多</w:t>
            </w:r>
            <w:r>
              <w:rPr>
                <w:rFonts w:hint="eastAsia" w:ascii="仿宋" w:hAnsi="仿宋" w:eastAsia="仿宋" w:cs="仿宋"/>
                <w:color w:val="000000"/>
                <w:sz w:val="24"/>
                <w:szCs w:val="24"/>
                <w:highlight w:val="none"/>
                <w:lang w:val="en-US"/>
              </w:rPr>
              <w:t>1</w:t>
            </w:r>
            <w:r>
              <w:rPr>
                <w:rFonts w:ascii="仿宋" w:hAnsi="仿宋" w:eastAsia="仿宋" w:cs="仿宋"/>
                <w:color w:val="000000"/>
                <w:sz w:val="24"/>
                <w:szCs w:val="24"/>
                <w:highlight w:val="none"/>
                <w:lang w:val="en-US"/>
              </w:rPr>
              <w:t>0</w:t>
            </w:r>
            <w:r>
              <w:rPr>
                <w:rFonts w:hint="eastAsia" w:ascii="仿宋" w:hAnsi="仿宋" w:eastAsia="仿宋" w:cs="仿宋"/>
                <w:color w:val="000000"/>
                <w:sz w:val="24"/>
                <w:szCs w:val="24"/>
                <w:highlight w:val="none"/>
              </w:rPr>
              <w:t>分</w:t>
            </w:r>
            <w:r>
              <w:rPr>
                <w:rFonts w:hint="eastAsia" w:ascii="仿宋" w:hAnsi="仿宋" w:eastAsia="仿宋" w:cs="仿宋"/>
                <w:color w:val="000000"/>
                <w:sz w:val="24"/>
                <w:szCs w:val="24"/>
              </w:rPr>
              <w:t>。以签订合同的时间为准，需要提供合同关键页复印件（需盖</w:t>
            </w:r>
            <w:r>
              <w:rPr>
                <w:rFonts w:hint="eastAsia" w:ascii="仿宋" w:hAnsi="仿宋" w:eastAsia="仿宋" w:cs="仿宋"/>
                <w:color w:val="000000"/>
                <w:sz w:val="24"/>
                <w:szCs w:val="24"/>
                <w:lang w:val="en-US"/>
              </w:rPr>
              <w:t>供应商</w:t>
            </w:r>
            <w:r>
              <w:rPr>
                <w:rFonts w:hint="eastAsia" w:ascii="仿宋" w:hAnsi="仿宋" w:eastAsia="仿宋" w:cs="仿宋"/>
                <w:color w:val="000000"/>
                <w:sz w:val="24"/>
                <w:szCs w:val="24"/>
              </w:rPr>
              <w:t>公章），必须体现合同类型、建设（服务）对象、金额及签定时间。</w:t>
            </w:r>
            <w:r>
              <w:rPr>
                <w:rFonts w:hint="eastAsia" w:ascii="仿宋" w:hAnsi="仿宋" w:eastAsia="仿宋" w:cs="仿宋"/>
                <w:color w:val="000000"/>
                <w:sz w:val="24"/>
                <w:szCs w:val="24"/>
              </w:rPr>
              <w:br w:type="textWrapping"/>
            </w:r>
            <w:r>
              <w:rPr>
                <w:rFonts w:hint="eastAsia" w:ascii="仿宋" w:hAnsi="仿宋" w:eastAsia="仿宋" w:cs="仿宋"/>
                <w:color w:val="000000"/>
                <w:sz w:val="24"/>
                <w:szCs w:val="24"/>
              </w:rPr>
              <w:t>注：直接签订是指</w:t>
            </w:r>
            <w:r>
              <w:rPr>
                <w:rFonts w:hint="eastAsia" w:ascii="仿宋" w:hAnsi="仿宋" w:eastAsia="仿宋" w:cs="仿宋"/>
                <w:color w:val="000000"/>
                <w:sz w:val="24"/>
                <w:szCs w:val="24"/>
                <w:lang w:val="en-US"/>
              </w:rPr>
              <w:t>供应商</w:t>
            </w:r>
            <w:r>
              <w:rPr>
                <w:rFonts w:hint="eastAsia" w:ascii="仿宋" w:hAnsi="仿宋" w:eastAsia="仿宋" w:cs="仿宋"/>
                <w:color w:val="000000"/>
                <w:sz w:val="24"/>
                <w:szCs w:val="24"/>
              </w:rPr>
              <w:t>为乙方的合同。</w:t>
            </w:r>
          </w:p>
        </w:tc>
        <w:tc>
          <w:tcPr>
            <w:tcW w:w="1469" w:type="dxa"/>
            <w:tcBorders>
              <w:top w:val="nil"/>
              <w:left w:val="nil"/>
              <w:bottom w:val="single" w:color="auto" w:sz="4" w:space="0"/>
              <w:right w:val="single" w:color="auto" w:sz="4" w:space="0"/>
            </w:tcBorders>
            <w:vAlign w:val="center"/>
          </w:tcPr>
          <w:p>
            <w:pPr>
              <w:snapToGrid w:val="0"/>
              <w:spacing w:line="0" w:lineRule="atLeast"/>
              <w:jc w:val="center"/>
              <w:textAlignment w:val="baseline"/>
              <w:rPr>
                <w:rFonts w:ascii="仿宋" w:hAnsi="仿宋" w:eastAsia="仿宋" w:cs="仿宋"/>
                <w:color w:val="000000"/>
                <w:sz w:val="24"/>
                <w:szCs w:val="24"/>
              </w:rPr>
            </w:pPr>
            <w:r>
              <w:rPr>
                <w:rFonts w:ascii="仿宋" w:hAnsi="仿宋" w:eastAsia="仿宋" w:cs="仿宋"/>
                <w:color w:val="000000"/>
                <w:sz w:val="24"/>
                <w:szCs w:val="24"/>
                <w:highlight w:val="none"/>
              </w:rPr>
              <w:t>20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60" w:hRule="atLeast"/>
        </w:trPr>
        <w:tc>
          <w:tcPr>
            <w:tcW w:w="1245" w:type="dxa"/>
            <w:tcBorders>
              <w:top w:val="single" w:color="auto" w:sz="4" w:space="0"/>
              <w:left w:val="single" w:color="auto" w:sz="4" w:space="0"/>
              <w:bottom w:val="single" w:color="auto" w:sz="4" w:space="0"/>
              <w:right w:val="single" w:color="auto" w:sz="4" w:space="0"/>
            </w:tcBorders>
            <w:vAlign w:val="center"/>
          </w:tcPr>
          <w:p>
            <w:pPr>
              <w:snapToGrid w:val="0"/>
              <w:spacing w:line="0" w:lineRule="atLeast"/>
              <w:jc w:val="center"/>
              <w:textAlignment w:val="baseline"/>
              <w:rPr>
                <w:rFonts w:ascii="仿宋" w:hAnsi="仿宋" w:eastAsia="仿宋" w:cs="仿宋"/>
                <w:color w:val="000000"/>
                <w:kern w:val="0"/>
                <w:sz w:val="24"/>
                <w:szCs w:val="24"/>
              </w:rPr>
            </w:pPr>
            <w:r>
              <w:rPr>
                <w:rFonts w:hint="eastAsia" w:ascii="仿宋" w:hAnsi="仿宋" w:eastAsia="仿宋" w:cs="仿宋"/>
                <w:color w:val="000000"/>
                <w:kern w:val="0"/>
                <w:sz w:val="24"/>
                <w:szCs w:val="24"/>
              </w:rPr>
              <w:t>服务方案</w:t>
            </w:r>
          </w:p>
        </w:tc>
        <w:tc>
          <w:tcPr>
            <w:tcW w:w="7486" w:type="dxa"/>
            <w:tcBorders>
              <w:top w:val="nil"/>
              <w:left w:val="nil"/>
              <w:bottom w:val="single" w:color="auto" w:sz="4" w:space="0"/>
              <w:right w:val="single" w:color="auto" w:sz="4" w:space="0"/>
            </w:tcBorders>
            <w:vAlign w:val="center"/>
          </w:tcPr>
          <w:p>
            <w:pPr>
              <w:ind w:left="-63" w:leftChars="-30" w:right="-88" w:rightChars="-42"/>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综合对比各供应商运维服务方案，包含运维流程、组织架构、服务内容、工作制度、应急响应等内容。</w:t>
            </w:r>
          </w:p>
          <w:p>
            <w:pPr>
              <w:spacing w:line="240" w:lineRule="atLeast"/>
              <w:ind w:left="-63" w:leftChars="-30" w:right="-88" w:rightChars="-42"/>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优：方案非常详细，组织架构明确，工作制度完善，符</w:t>
            </w:r>
            <w:r>
              <w:rPr>
                <w:rFonts w:hint="eastAsia" w:ascii="仿宋" w:hAnsi="仿宋" w:eastAsia="仿宋" w:cs="仿宋"/>
                <w:sz w:val="24"/>
                <w:szCs w:val="24"/>
              </w:rPr>
              <w:t>合用户需求，针对性强得20</w:t>
            </w:r>
            <w:r>
              <w:rPr>
                <w:rFonts w:hint="eastAsia" w:ascii="仿宋" w:hAnsi="仿宋" w:eastAsia="仿宋" w:cs="仿宋"/>
                <w:color w:val="000000"/>
                <w:kern w:val="0"/>
                <w:sz w:val="24"/>
                <w:szCs w:val="24"/>
              </w:rPr>
              <w:t>分；</w:t>
            </w:r>
          </w:p>
          <w:p>
            <w:pPr>
              <w:spacing w:line="240" w:lineRule="atLeast"/>
              <w:ind w:left="-63" w:leftChars="-30" w:right="-88" w:rightChars="-42"/>
              <w:jc w:val="left"/>
              <w:rPr>
                <w:rFonts w:ascii="仿宋" w:hAnsi="仿宋" w:eastAsia="仿宋" w:cs="仿宋"/>
                <w:sz w:val="24"/>
                <w:szCs w:val="24"/>
              </w:rPr>
            </w:pPr>
            <w:r>
              <w:rPr>
                <w:rFonts w:hint="eastAsia" w:ascii="仿宋" w:hAnsi="仿宋" w:eastAsia="仿宋" w:cs="仿宋"/>
                <w:color w:val="000000"/>
                <w:kern w:val="0"/>
                <w:sz w:val="24"/>
                <w:szCs w:val="24"/>
              </w:rPr>
              <w:t>良：</w:t>
            </w:r>
            <w:r>
              <w:rPr>
                <w:rFonts w:hint="eastAsia" w:ascii="仿宋" w:hAnsi="仿宋" w:eastAsia="仿宋" w:cs="仿宋"/>
                <w:sz w:val="24"/>
                <w:szCs w:val="24"/>
              </w:rPr>
              <w:t>方案描述一般，</w:t>
            </w:r>
            <w:r>
              <w:rPr>
                <w:rFonts w:hint="eastAsia" w:ascii="仿宋" w:hAnsi="仿宋" w:eastAsia="仿宋" w:cs="仿宋"/>
                <w:color w:val="000000"/>
                <w:kern w:val="0"/>
                <w:sz w:val="24"/>
                <w:szCs w:val="24"/>
              </w:rPr>
              <w:t>工作制度较为完善，</w:t>
            </w:r>
            <w:r>
              <w:rPr>
                <w:rFonts w:hint="eastAsia" w:ascii="仿宋" w:hAnsi="仿宋" w:eastAsia="仿宋" w:cs="仿宋"/>
                <w:sz w:val="24"/>
                <w:szCs w:val="24"/>
              </w:rPr>
              <w:t>基本符合用户需求，具备可行性，针对性较强得14分；</w:t>
            </w:r>
          </w:p>
          <w:p>
            <w:pPr>
              <w:spacing w:line="240" w:lineRule="atLeast"/>
              <w:ind w:left="-63" w:leftChars="-30" w:right="-88" w:rightChars="-42"/>
              <w:jc w:val="left"/>
              <w:rPr>
                <w:rFonts w:ascii="仿宋" w:hAnsi="仿宋" w:eastAsia="仿宋" w:cs="仿宋"/>
                <w:sz w:val="24"/>
                <w:szCs w:val="24"/>
              </w:rPr>
            </w:pPr>
            <w:r>
              <w:rPr>
                <w:rFonts w:hint="eastAsia" w:ascii="仿宋" w:hAnsi="仿宋" w:eastAsia="仿宋" w:cs="仿宋"/>
                <w:color w:val="000000"/>
                <w:kern w:val="0"/>
                <w:sz w:val="24"/>
                <w:szCs w:val="24"/>
              </w:rPr>
              <w:t>一般：</w:t>
            </w:r>
            <w:r>
              <w:rPr>
                <w:rFonts w:hint="eastAsia" w:ascii="仿宋" w:hAnsi="仿宋" w:eastAsia="仿宋" w:cs="仿宋"/>
                <w:sz w:val="24"/>
                <w:szCs w:val="24"/>
              </w:rPr>
              <w:t>方案描述较为简单，可行性一般，针对性一般的7分；</w:t>
            </w:r>
          </w:p>
          <w:p>
            <w:pPr>
              <w:spacing w:line="240" w:lineRule="atLeast"/>
              <w:ind w:left="-63" w:leftChars="-30" w:right="-88" w:rightChars="-42"/>
              <w:jc w:val="left"/>
              <w:rPr>
                <w:rFonts w:ascii="仿宋" w:hAnsi="仿宋" w:eastAsia="仿宋" w:cs="仿宋"/>
                <w:color w:val="000000"/>
                <w:kern w:val="0"/>
                <w:sz w:val="24"/>
                <w:szCs w:val="24"/>
              </w:rPr>
            </w:pPr>
            <w:r>
              <w:rPr>
                <w:rFonts w:hint="eastAsia" w:ascii="仿宋" w:hAnsi="仿宋" w:eastAsia="仿宋" w:cs="仿宋"/>
                <w:sz w:val="24"/>
                <w:szCs w:val="24"/>
              </w:rPr>
              <w:t>不提供方案：0分。</w:t>
            </w:r>
          </w:p>
        </w:tc>
        <w:tc>
          <w:tcPr>
            <w:tcW w:w="1469" w:type="dxa"/>
            <w:tcBorders>
              <w:top w:val="nil"/>
              <w:left w:val="nil"/>
              <w:bottom w:val="single" w:color="auto" w:sz="4" w:space="0"/>
              <w:right w:val="single" w:color="auto" w:sz="4" w:space="0"/>
            </w:tcBorders>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20分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93" w:hRule="atLeast"/>
        </w:trPr>
        <w:tc>
          <w:tcPr>
            <w:tcW w:w="1245" w:type="dxa"/>
            <w:tcBorders>
              <w:top w:val="single" w:color="auto" w:sz="4" w:space="0"/>
              <w:left w:val="single" w:color="auto" w:sz="4" w:space="0"/>
              <w:bottom w:val="single" w:color="auto" w:sz="4" w:space="0"/>
              <w:right w:val="single" w:color="auto" w:sz="4" w:space="0"/>
            </w:tcBorders>
            <w:vAlign w:val="center"/>
          </w:tcPr>
          <w:p>
            <w:pPr>
              <w:snapToGrid w:val="0"/>
              <w:spacing w:line="0" w:lineRule="atLeast"/>
              <w:jc w:val="center"/>
              <w:textAlignment w:val="baseline"/>
              <w:rPr>
                <w:rFonts w:ascii="仿宋" w:hAnsi="仿宋" w:eastAsia="仿宋" w:cs="仿宋"/>
                <w:color w:val="000000"/>
                <w:kern w:val="0"/>
                <w:sz w:val="24"/>
                <w:szCs w:val="24"/>
                <w:highlight w:val="none"/>
              </w:rPr>
            </w:pPr>
            <w:r>
              <w:rPr>
                <w:rFonts w:hint="eastAsia" w:ascii="仿宋" w:hAnsi="仿宋" w:eastAsia="仿宋" w:cs="仿宋"/>
                <w:color w:val="000000"/>
                <w:kern w:val="0"/>
                <w:sz w:val="24"/>
                <w:szCs w:val="24"/>
                <w:highlight w:val="none"/>
              </w:rPr>
              <w:t>培训方案</w:t>
            </w:r>
          </w:p>
        </w:tc>
        <w:tc>
          <w:tcPr>
            <w:tcW w:w="7486" w:type="dxa"/>
            <w:tcBorders>
              <w:top w:val="nil"/>
              <w:left w:val="nil"/>
              <w:bottom w:val="single" w:color="auto" w:sz="4" w:space="0"/>
              <w:right w:val="single" w:color="auto" w:sz="4" w:space="0"/>
            </w:tcBorders>
            <w:vAlign w:val="center"/>
          </w:tcPr>
          <w:p>
            <w:pPr>
              <w:spacing w:line="240" w:lineRule="atLeast"/>
              <w:ind w:left="-63" w:leftChars="-30" w:right="-88" w:rightChars="-42"/>
              <w:jc w:val="left"/>
              <w:rPr>
                <w:rFonts w:ascii="仿宋" w:hAnsi="仿宋" w:eastAsia="仿宋" w:cs="仿宋"/>
                <w:color w:val="000000"/>
                <w:kern w:val="0"/>
                <w:sz w:val="24"/>
                <w:szCs w:val="24"/>
                <w:highlight w:val="none"/>
              </w:rPr>
            </w:pPr>
            <w:r>
              <w:rPr>
                <w:rFonts w:hint="eastAsia" w:ascii="仿宋" w:hAnsi="仿宋" w:eastAsia="仿宋" w:cs="仿宋"/>
                <w:color w:val="000000"/>
                <w:kern w:val="0"/>
                <w:sz w:val="24"/>
                <w:szCs w:val="24"/>
                <w:highlight w:val="none"/>
              </w:rPr>
              <w:t xml:space="preserve">根据供应商针对本项目提供的人员培训方案是否完善进行综合评定:包括但不限于培训内容、培训形式、培训目标等，其中上述方案内容完整、有针对性、可操作性强的得8分；方案内容较完整、有一定针对性、操作性较强的得 </w:t>
            </w:r>
            <w:r>
              <w:rPr>
                <w:rFonts w:hint="eastAsia" w:ascii="仿宋" w:hAnsi="仿宋" w:eastAsia="仿宋" w:cs="仿宋"/>
                <w:color w:val="000000"/>
                <w:kern w:val="0"/>
                <w:sz w:val="24"/>
                <w:szCs w:val="24"/>
                <w:highlight w:val="none"/>
                <w:lang w:val="en-US" w:eastAsia="zh-CN"/>
              </w:rPr>
              <w:t>5</w:t>
            </w:r>
            <w:r>
              <w:rPr>
                <w:rFonts w:hint="eastAsia" w:ascii="仿宋" w:hAnsi="仿宋" w:eastAsia="仿宋" w:cs="仿宋"/>
                <w:color w:val="000000"/>
                <w:kern w:val="0"/>
                <w:sz w:val="24"/>
                <w:szCs w:val="24"/>
                <w:highlight w:val="none"/>
              </w:rPr>
              <w:t xml:space="preserve"> 分，方案内容不完整、针对性差、操作性一般的得</w:t>
            </w:r>
            <w:r>
              <w:rPr>
                <w:rFonts w:hint="eastAsia" w:ascii="仿宋" w:hAnsi="仿宋" w:eastAsia="仿宋" w:cs="仿宋"/>
                <w:color w:val="000000"/>
                <w:kern w:val="0"/>
                <w:sz w:val="24"/>
                <w:szCs w:val="24"/>
                <w:highlight w:val="none"/>
                <w:lang w:val="en-US" w:eastAsia="zh-CN"/>
              </w:rPr>
              <w:t>2</w:t>
            </w:r>
            <w:r>
              <w:rPr>
                <w:rFonts w:hint="eastAsia" w:ascii="仿宋" w:hAnsi="仿宋" w:eastAsia="仿宋" w:cs="仿宋"/>
                <w:color w:val="000000"/>
                <w:kern w:val="0"/>
                <w:sz w:val="24"/>
                <w:szCs w:val="24"/>
                <w:highlight w:val="none"/>
              </w:rPr>
              <w:t xml:space="preserve"> 分；方案不可行或未提供方案不得分。</w:t>
            </w:r>
          </w:p>
        </w:tc>
        <w:tc>
          <w:tcPr>
            <w:tcW w:w="1469" w:type="dxa"/>
            <w:tcBorders>
              <w:top w:val="nil"/>
              <w:left w:val="nil"/>
              <w:bottom w:val="single" w:color="auto" w:sz="4" w:space="0"/>
              <w:right w:val="single" w:color="auto" w:sz="4" w:space="0"/>
            </w:tcBorders>
            <w:vAlign w:val="center"/>
          </w:tcPr>
          <w:p>
            <w:pPr>
              <w:snapToGrid w:val="0"/>
              <w:spacing w:line="0" w:lineRule="atLeast"/>
              <w:jc w:val="center"/>
              <w:textAlignment w:val="baseline"/>
              <w:rPr>
                <w:rFonts w:ascii="仿宋" w:hAnsi="仿宋" w:eastAsia="仿宋" w:cs="仿宋"/>
                <w:color w:val="000000"/>
                <w:sz w:val="24"/>
                <w:szCs w:val="24"/>
                <w:highlight w:val="yellow"/>
              </w:rPr>
            </w:pPr>
            <w:r>
              <w:rPr>
                <w:rFonts w:hint="eastAsia" w:ascii="仿宋" w:hAnsi="仿宋" w:eastAsia="仿宋" w:cs="仿宋"/>
                <w:color w:val="000000"/>
                <w:sz w:val="24"/>
                <w:szCs w:val="24"/>
                <w:highlight w:val="none"/>
              </w:rPr>
              <w:t>8分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678" w:hRule="atLeast"/>
        </w:trPr>
        <w:tc>
          <w:tcPr>
            <w:tcW w:w="1245" w:type="dxa"/>
            <w:tcBorders>
              <w:top w:val="single" w:color="auto" w:sz="4" w:space="0"/>
              <w:left w:val="single" w:color="auto" w:sz="4" w:space="0"/>
              <w:bottom w:val="single" w:color="auto" w:sz="4" w:space="0"/>
              <w:right w:val="single" w:color="auto" w:sz="4" w:space="0"/>
            </w:tcBorders>
            <w:vAlign w:val="center"/>
          </w:tcPr>
          <w:p>
            <w:pPr>
              <w:snapToGrid w:val="0"/>
              <w:spacing w:line="0" w:lineRule="atLeast"/>
              <w:jc w:val="center"/>
              <w:textAlignment w:val="baseline"/>
              <w:rPr>
                <w:rFonts w:ascii="仿宋" w:hAnsi="仿宋" w:eastAsia="仿宋" w:cs="仿宋"/>
                <w:color w:val="000000"/>
                <w:kern w:val="0"/>
                <w:sz w:val="24"/>
                <w:szCs w:val="24"/>
              </w:rPr>
            </w:pPr>
            <w:r>
              <w:rPr>
                <w:rFonts w:hint="eastAsia" w:ascii="仿宋" w:hAnsi="仿宋" w:eastAsia="仿宋" w:cs="仿宋"/>
                <w:sz w:val="24"/>
                <w:szCs w:val="24"/>
              </w:rPr>
              <w:t>应急预案</w:t>
            </w:r>
          </w:p>
        </w:tc>
        <w:tc>
          <w:tcPr>
            <w:tcW w:w="7486" w:type="dxa"/>
            <w:tcBorders>
              <w:top w:val="single" w:color="auto" w:sz="4" w:space="0"/>
              <w:left w:val="nil"/>
              <w:bottom w:val="single" w:color="auto" w:sz="4" w:space="0"/>
              <w:right w:val="single" w:color="auto" w:sz="4" w:space="0"/>
            </w:tcBorders>
            <w:vAlign w:val="center"/>
          </w:tcPr>
          <w:p>
            <w:pPr>
              <w:rPr>
                <w:rFonts w:ascii="仿宋" w:hAnsi="仿宋" w:eastAsia="仿宋" w:cs="仿宋"/>
                <w:sz w:val="24"/>
                <w:szCs w:val="24"/>
              </w:rPr>
            </w:pPr>
            <w:r>
              <w:rPr>
                <w:rFonts w:hint="eastAsia" w:ascii="仿宋" w:hAnsi="仿宋" w:eastAsia="仿宋" w:cs="仿宋"/>
                <w:sz w:val="24"/>
                <w:szCs w:val="24"/>
              </w:rPr>
              <w:t>根据应急预案的组织、响应步骤、预防机制、处理机制进行评分。</w:t>
            </w:r>
          </w:p>
          <w:p>
            <w:pPr>
              <w:rPr>
                <w:rFonts w:ascii="仿宋" w:hAnsi="仿宋" w:eastAsia="仿宋" w:cs="仿宋"/>
                <w:sz w:val="24"/>
                <w:szCs w:val="24"/>
              </w:rPr>
            </w:pPr>
            <w:r>
              <w:rPr>
                <w:rFonts w:hint="eastAsia" w:ascii="仿宋" w:hAnsi="仿宋" w:eastAsia="仿宋" w:cs="仿宋"/>
                <w:sz w:val="24"/>
                <w:szCs w:val="24"/>
              </w:rPr>
              <w:t>应急预案内容齐全、科学合理、可行性强得</w:t>
            </w:r>
            <w:r>
              <w:rPr>
                <w:rFonts w:hint="eastAsia" w:ascii="仿宋" w:hAnsi="仿宋" w:eastAsia="仿宋" w:cs="仿宋"/>
                <w:sz w:val="24"/>
                <w:szCs w:val="24"/>
                <w:highlight w:val="none"/>
              </w:rPr>
              <w:t>1</w:t>
            </w:r>
            <w:r>
              <w:rPr>
                <w:rFonts w:ascii="仿宋" w:hAnsi="仿宋" w:eastAsia="仿宋" w:cs="仿宋"/>
                <w:sz w:val="24"/>
                <w:szCs w:val="24"/>
                <w:highlight w:val="none"/>
              </w:rPr>
              <w:t>4</w:t>
            </w:r>
            <w:r>
              <w:rPr>
                <w:rFonts w:hint="eastAsia" w:ascii="仿宋" w:hAnsi="仿宋" w:eastAsia="仿宋" w:cs="仿宋"/>
                <w:sz w:val="24"/>
                <w:szCs w:val="24"/>
                <w:highlight w:val="none"/>
              </w:rPr>
              <w:t xml:space="preserve">分； </w:t>
            </w:r>
          </w:p>
          <w:p>
            <w:pPr>
              <w:rPr>
                <w:rFonts w:ascii="仿宋" w:hAnsi="仿宋" w:eastAsia="仿宋" w:cs="仿宋"/>
                <w:sz w:val="24"/>
                <w:szCs w:val="24"/>
              </w:rPr>
            </w:pPr>
            <w:r>
              <w:rPr>
                <w:rFonts w:hint="eastAsia" w:ascii="仿宋" w:hAnsi="仿宋" w:eastAsia="仿宋" w:cs="仿宋"/>
                <w:sz w:val="24"/>
                <w:szCs w:val="24"/>
              </w:rPr>
              <w:t xml:space="preserve">应急预案内容较齐全、较合理、可行性较强得10分； </w:t>
            </w:r>
          </w:p>
          <w:p>
            <w:pPr>
              <w:rPr>
                <w:rFonts w:ascii="仿宋" w:hAnsi="仿宋" w:eastAsia="仿宋" w:cs="仿宋"/>
                <w:sz w:val="24"/>
                <w:szCs w:val="24"/>
              </w:rPr>
            </w:pPr>
            <w:r>
              <w:rPr>
                <w:rFonts w:hint="eastAsia" w:ascii="仿宋" w:hAnsi="仿宋" w:eastAsia="仿宋" w:cs="仿宋"/>
                <w:sz w:val="24"/>
                <w:szCs w:val="24"/>
              </w:rPr>
              <w:t>应急预案内容基本齐全、基本合理、可行性一般得</w:t>
            </w:r>
            <w:r>
              <w:rPr>
                <w:rFonts w:hint="eastAsia" w:ascii="仿宋" w:hAnsi="仿宋" w:eastAsia="仿宋" w:cs="仿宋"/>
                <w:sz w:val="24"/>
                <w:szCs w:val="24"/>
                <w:lang w:val="en-US" w:eastAsia="zh-CN"/>
              </w:rPr>
              <w:t>6</w:t>
            </w:r>
            <w:r>
              <w:rPr>
                <w:rFonts w:hint="eastAsia" w:ascii="仿宋" w:hAnsi="仿宋" w:eastAsia="仿宋" w:cs="仿宋"/>
                <w:sz w:val="24"/>
                <w:szCs w:val="24"/>
              </w:rPr>
              <w:t>分；</w:t>
            </w:r>
          </w:p>
          <w:p>
            <w:pPr>
              <w:rPr>
                <w:rFonts w:ascii="仿宋" w:hAnsi="仿宋" w:eastAsia="仿宋" w:cs="仿宋"/>
                <w:sz w:val="24"/>
                <w:szCs w:val="24"/>
              </w:rPr>
            </w:pPr>
            <w:r>
              <w:rPr>
                <w:rFonts w:hint="eastAsia" w:ascii="仿宋" w:hAnsi="仿宋" w:eastAsia="仿宋" w:cs="仿宋"/>
                <w:sz w:val="24"/>
                <w:szCs w:val="24"/>
              </w:rPr>
              <w:t>其他不得分。</w:t>
            </w:r>
          </w:p>
        </w:tc>
        <w:tc>
          <w:tcPr>
            <w:tcW w:w="1469" w:type="dxa"/>
            <w:tcBorders>
              <w:top w:val="single" w:color="auto" w:sz="4" w:space="0"/>
              <w:left w:val="nil"/>
              <w:bottom w:val="single" w:color="auto" w:sz="4" w:space="0"/>
              <w:right w:val="single" w:color="auto" w:sz="4" w:space="0"/>
            </w:tcBorders>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highlight w:val="none"/>
              </w:rPr>
              <w:t>1</w:t>
            </w:r>
            <w:r>
              <w:rPr>
                <w:rFonts w:ascii="仿宋" w:hAnsi="仿宋" w:eastAsia="仿宋" w:cs="仿宋"/>
                <w:color w:val="000000"/>
                <w:sz w:val="24"/>
                <w:szCs w:val="24"/>
                <w:highlight w:val="none"/>
              </w:rPr>
              <w:t>4</w:t>
            </w:r>
            <w:r>
              <w:rPr>
                <w:rFonts w:hint="eastAsia" w:ascii="仿宋" w:hAnsi="仿宋" w:eastAsia="仿宋" w:cs="仿宋"/>
                <w:color w:val="000000"/>
                <w:sz w:val="24"/>
                <w:szCs w:val="24"/>
                <w:highlight w:val="none"/>
              </w:rPr>
              <w:t>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678" w:hRule="atLeast"/>
        </w:trPr>
        <w:tc>
          <w:tcPr>
            <w:tcW w:w="1245" w:type="dxa"/>
            <w:tcBorders>
              <w:top w:val="single" w:color="auto" w:sz="4" w:space="0"/>
              <w:left w:val="single" w:color="auto" w:sz="4" w:space="0"/>
              <w:bottom w:val="single" w:color="auto" w:sz="4" w:space="0"/>
              <w:right w:val="single" w:color="auto" w:sz="4" w:space="0"/>
            </w:tcBorders>
            <w:vAlign w:val="center"/>
          </w:tcPr>
          <w:p>
            <w:pPr>
              <w:snapToGrid w:val="0"/>
              <w:spacing w:line="0" w:lineRule="atLeast"/>
              <w:jc w:val="center"/>
              <w:textAlignment w:val="baseline"/>
              <w:rPr>
                <w:rFonts w:hint="eastAsia" w:ascii="仿宋" w:hAnsi="仿宋" w:eastAsia="仿宋" w:cs="仿宋"/>
                <w:sz w:val="24"/>
                <w:szCs w:val="24"/>
              </w:rPr>
            </w:pPr>
            <w:r>
              <w:rPr>
                <w:rFonts w:hint="eastAsia" w:ascii="仿宋" w:hAnsi="仿宋" w:eastAsia="仿宋" w:cs="仿宋"/>
                <w:color w:val="000000"/>
                <w:kern w:val="0"/>
                <w:sz w:val="24"/>
                <w:szCs w:val="24"/>
              </w:rPr>
              <w:t>项目团队人员要求</w:t>
            </w:r>
          </w:p>
        </w:tc>
        <w:tc>
          <w:tcPr>
            <w:tcW w:w="7486" w:type="dxa"/>
            <w:tcBorders>
              <w:top w:val="single" w:color="auto" w:sz="4" w:space="0"/>
              <w:left w:val="nil"/>
              <w:bottom w:val="single" w:color="auto" w:sz="4" w:space="0"/>
              <w:right w:val="single" w:color="auto" w:sz="4" w:space="0"/>
            </w:tcBorders>
            <w:vAlign w:val="center"/>
          </w:tcPr>
          <w:p>
            <w:pPr>
              <w:pStyle w:val="2"/>
              <w:numPr>
                <w:ilvl w:val="0"/>
                <w:numId w:val="8"/>
              </w:numPr>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本项目项目经理具有5年以上工作经验，以及团队成员具有</w:t>
            </w:r>
            <w:r>
              <w:rPr>
                <w:rFonts w:ascii="仿宋" w:hAnsi="仿宋" w:eastAsia="仿宋" w:cs="仿宋"/>
                <w:color w:val="000000"/>
                <w:sz w:val="24"/>
                <w:szCs w:val="24"/>
                <w:highlight w:val="none"/>
              </w:rPr>
              <w:t>3</w:t>
            </w:r>
            <w:r>
              <w:rPr>
                <w:rFonts w:hint="eastAsia" w:ascii="仿宋" w:hAnsi="仿宋" w:eastAsia="仿宋" w:cs="仿宋"/>
                <w:color w:val="000000"/>
                <w:sz w:val="24"/>
                <w:szCs w:val="24"/>
                <w:highlight w:val="none"/>
              </w:rPr>
              <w:t>年以上工作经验，同时满足得</w:t>
            </w:r>
            <w:r>
              <w:rPr>
                <w:rFonts w:ascii="仿宋" w:hAnsi="仿宋" w:eastAsia="仿宋" w:cs="仿宋"/>
                <w:color w:val="000000"/>
                <w:sz w:val="24"/>
                <w:szCs w:val="24"/>
                <w:highlight w:val="none"/>
              </w:rPr>
              <w:t>6</w:t>
            </w:r>
            <w:r>
              <w:rPr>
                <w:rFonts w:hint="eastAsia" w:ascii="仿宋" w:hAnsi="仿宋" w:eastAsia="仿宋" w:cs="仿宋"/>
                <w:color w:val="000000"/>
                <w:sz w:val="24"/>
                <w:szCs w:val="24"/>
                <w:highlight w:val="none"/>
              </w:rPr>
              <w:t>分，否则0分。</w:t>
            </w:r>
          </w:p>
          <w:p>
            <w:pPr>
              <w:numPr>
                <w:ilvl w:val="0"/>
                <w:numId w:val="8"/>
              </w:numPr>
              <w:ind w:right="-88" w:rightChars="-42"/>
              <w:jc w:val="left"/>
              <w:rPr>
                <w:rFonts w:ascii="仿宋" w:hAnsi="仿宋" w:eastAsia="仿宋" w:cs="仿宋"/>
                <w:color w:val="000000"/>
                <w:kern w:val="0"/>
                <w:sz w:val="24"/>
                <w:szCs w:val="24"/>
              </w:rPr>
            </w:pPr>
            <w:r>
              <w:rPr>
                <w:rFonts w:hint="eastAsia" w:ascii="仿宋" w:hAnsi="仿宋" w:eastAsia="仿宋" w:cs="仿宋"/>
                <w:color w:val="000000"/>
                <w:kern w:val="0"/>
                <w:sz w:val="24"/>
                <w:szCs w:val="24"/>
              </w:rPr>
              <w:t>本项目经理具有PMP证书得6分，否则0分。</w:t>
            </w:r>
          </w:p>
          <w:p>
            <w:pPr>
              <w:rPr>
                <w:rFonts w:hint="eastAsia" w:ascii="仿宋" w:hAnsi="仿宋" w:eastAsia="仿宋" w:cs="仿宋"/>
                <w:sz w:val="24"/>
                <w:szCs w:val="24"/>
              </w:rPr>
            </w:pPr>
            <w:r>
              <w:rPr>
                <w:rFonts w:hint="eastAsia" w:ascii="仿宋" w:hAnsi="仿宋" w:eastAsia="仿宋" w:cs="仿宋"/>
                <w:sz w:val="24"/>
                <w:szCs w:val="24"/>
              </w:rPr>
              <w:t>需提供有效期范围内证书复印件；提供供应商在投标截止之日前与上述人员签订的劳动合同复印件及满6个月及以上的社保局出具的社保证明文件；</w:t>
            </w:r>
          </w:p>
        </w:tc>
        <w:tc>
          <w:tcPr>
            <w:tcW w:w="1469" w:type="dxa"/>
            <w:tcBorders>
              <w:top w:val="single" w:color="auto" w:sz="4" w:space="0"/>
              <w:left w:val="nil"/>
              <w:bottom w:val="single" w:color="auto" w:sz="4" w:space="0"/>
              <w:right w:val="single" w:color="auto" w:sz="4" w:space="0"/>
            </w:tcBorders>
            <w:vAlign w:val="center"/>
          </w:tcPr>
          <w:p>
            <w:pPr>
              <w:snapToGrid w:val="0"/>
              <w:spacing w:line="0" w:lineRule="atLeast"/>
              <w:jc w:val="center"/>
              <w:textAlignment w:val="baseline"/>
              <w:rPr>
                <w:rFonts w:hint="default"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12分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25" w:hRule="atLeast"/>
        </w:trPr>
        <w:tc>
          <w:tcPr>
            <w:tcW w:w="10200" w:type="dxa"/>
            <w:gridSpan w:val="3"/>
            <w:tcBorders>
              <w:top w:val="single" w:color="auto" w:sz="4" w:space="0"/>
              <w:left w:val="single" w:color="auto" w:sz="4" w:space="0"/>
              <w:bottom w:val="single" w:color="auto" w:sz="4" w:space="0"/>
              <w:right w:val="single" w:color="auto" w:sz="4" w:space="0"/>
            </w:tcBorders>
            <w:vAlign w:val="center"/>
          </w:tcPr>
          <w:p>
            <w:pPr>
              <w:snapToGrid w:val="0"/>
              <w:spacing w:line="0" w:lineRule="atLeas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合计：100分</w:t>
            </w:r>
          </w:p>
        </w:tc>
      </w:tr>
    </w:tbl>
    <w:p>
      <w:pPr>
        <w:textAlignment w:val="baseline"/>
        <w:rPr>
          <w:rFonts w:ascii="仿宋" w:hAnsi="仿宋" w:eastAsia="仿宋" w:cs="仿宋"/>
          <w:sz w:val="20"/>
        </w:rPr>
      </w:pPr>
    </w:p>
    <w:p>
      <w:pPr>
        <w:snapToGrid w:val="0"/>
        <w:spacing w:line="360" w:lineRule="auto"/>
        <w:ind w:firstLine="422" w:firstLineChars="200"/>
        <w:textAlignment w:val="baseline"/>
        <w:rPr>
          <w:rFonts w:ascii="仿宋" w:hAnsi="仿宋" w:eastAsia="仿宋" w:cs="仿宋"/>
          <w:b/>
          <w:bCs/>
        </w:rPr>
      </w:pPr>
      <w:bookmarkStart w:id="115" w:name="_Toc7355"/>
      <w:bookmarkStart w:id="116" w:name="_Toc1129"/>
      <w:r>
        <w:rPr>
          <w:rFonts w:hint="eastAsia" w:ascii="仿宋" w:hAnsi="仿宋" w:eastAsia="仿宋" w:cs="仿宋"/>
          <w:b/>
          <w:bCs/>
        </w:rPr>
        <w:t>说明：</w:t>
      </w:r>
      <w:bookmarkEnd w:id="115"/>
      <w:bookmarkEnd w:id="116"/>
      <w:bookmarkStart w:id="117" w:name="_Toc3274"/>
      <w:bookmarkStart w:id="118" w:name="_Toc25170484"/>
      <w:bookmarkStart w:id="119" w:name="_Toc5358"/>
    </w:p>
    <w:p>
      <w:pPr>
        <w:snapToGrid w:val="0"/>
        <w:spacing w:line="360" w:lineRule="auto"/>
        <w:ind w:firstLine="400" w:firstLineChars="200"/>
        <w:textAlignment w:val="baseline"/>
        <w:rPr>
          <w:rFonts w:ascii="仿宋" w:hAnsi="仿宋" w:eastAsia="仿宋" w:cs="仿宋"/>
          <w:bCs/>
          <w:sz w:val="20"/>
          <w:szCs w:val="20"/>
        </w:rPr>
      </w:pPr>
      <w:r>
        <w:rPr>
          <w:rFonts w:hint="eastAsia" w:ascii="仿宋" w:hAnsi="仿宋" w:eastAsia="仿宋" w:cs="仿宋"/>
          <w:bCs/>
          <w:sz w:val="20"/>
          <w:szCs w:val="20"/>
        </w:rPr>
        <w:t>（一）对于专门面向中小企业或小型、微型企业的项目，只面向中小企业或小型、微型企业采购。对于非专门面向中小企业的项目，对小型和微型企业产品的价格给予10%的扣除，用扣除后的价格参与评审。</w:t>
      </w:r>
    </w:p>
    <w:p>
      <w:pPr>
        <w:snapToGrid w:val="0"/>
        <w:spacing w:line="360" w:lineRule="auto"/>
        <w:ind w:firstLine="400" w:firstLineChars="200"/>
        <w:textAlignment w:val="baseline"/>
        <w:rPr>
          <w:rFonts w:ascii="仿宋" w:hAnsi="仿宋" w:eastAsia="仿宋" w:cs="仿宋"/>
          <w:bCs/>
          <w:sz w:val="20"/>
          <w:szCs w:val="20"/>
        </w:rPr>
      </w:pPr>
      <w:r>
        <w:rPr>
          <w:rFonts w:hint="eastAsia" w:ascii="仿宋" w:hAnsi="仿宋" w:eastAsia="仿宋" w:cs="仿宋"/>
          <w:bCs/>
          <w:sz w:val="20"/>
          <w:szCs w:val="20"/>
        </w:rPr>
        <w:t>供应商提供的货物、工程或者服务符合下列情形的，享受本办法规定的中小企业扶持政策：</w:t>
      </w:r>
    </w:p>
    <w:p>
      <w:pPr>
        <w:snapToGrid w:val="0"/>
        <w:spacing w:line="360" w:lineRule="auto"/>
        <w:ind w:firstLine="400" w:firstLineChars="200"/>
        <w:textAlignment w:val="baseline"/>
        <w:rPr>
          <w:rFonts w:ascii="仿宋" w:hAnsi="仿宋" w:eastAsia="仿宋" w:cs="仿宋"/>
          <w:bCs/>
          <w:sz w:val="20"/>
          <w:szCs w:val="20"/>
        </w:rPr>
      </w:pPr>
      <w:r>
        <w:rPr>
          <w:rFonts w:hint="eastAsia" w:ascii="仿宋" w:hAnsi="仿宋" w:eastAsia="仿宋" w:cs="仿宋"/>
          <w:bCs/>
          <w:sz w:val="20"/>
          <w:szCs w:val="20"/>
        </w:rPr>
        <w:t>（1）在货物采购项目中，货物由中小企业制造，即货物由中小企业生产且使用该中小企业商号或者注册商标；</w:t>
      </w:r>
    </w:p>
    <w:p>
      <w:pPr>
        <w:snapToGrid w:val="0"/>
        <w:spacing w:line="360" w:lineRule="auto"/>
        <w:ind w:firstLine="400" w:firstLineChars="200"/>
        <w:textAlignment w:val="baseline"/>
        <w:rPr>
          <w:rFonts w:ascii="仿宋" w:hAnsi="仿宋" w:eastAsia="仿宋" w:cs="仿宋"/>
          <w:bCs/>
          <w:sz w:val="20"/>
          <w:szCs w:val="20"/>
        </w:rPr>
      </w:pPr>
      <w:r>
        <w:rPr>
          <w:rFonts w:hint="eastAsia" w:ascii="仿宋" w:hAnsi="仿宋" w:eastAsia="仿宋" w:cs="仿宋"/>
          <w:bCs/>
          <w:sz w:val="20"/>
          <w:szCs w:val="20"/>
        </w:rPr>
        <w:t>（2）在工程采购项目中，工程由中小企业承建，即工程施工单位为中小企业；</w:t>
      </w:r>
    </w:p>
    <w:p>
      <w:pPr>
        <w:snapToGrid w:val="0"/>
        <w:spacing w:line="360" w:lineRule="auto"/>
        <w:ind w:firstLine="400" w:firstLineChars="200"/>
        <w:textAlignment w:val="baseline"/>
        <w:rPr>
          <w:rFonts w:ascii="仿宋" w:hAnsi="仿宋" w:eastAsia="仿宋" w:cs="仿宋"/>
          <w:bCs/>
          <w:sz w:val="20"/>
          <w:szCs w:val="20"/>
        </w:rPr>
      </w:pPr>
      <w:r>
        <w:rPr>
          <w:rFonts w:hint="eastAsia" w:ascii="仿宋" w:hAnsi="仿宋" w:eastAsia="仿宋" w:cs="仿宋"/>
          <w:bCs/>
          <w:sz w:val="20"/>
          <w:szCs w:val="20"/>
        </w:rPr>
        <w:t>（3）在服务采购项目中，服务由中小企业承接，即提供服务的人员为中小企业依照《中华人民共和国劳动合同法》订立劳动合同的从业人员。</w:t>
      </w:r>
    </w:p>
    <w:p>
      <w:pPr>
        <w:snapToGrid w:val="0"/>
        <w:spacing w:line="360" w:lineRule="auto"/>
        <w:ind w:firstLine="400" w:firstLineChars="200"/>
        <w:textAlignment w:val="baseline"/>
        <w:rPr>
          <w:rFonts w:ascii="仿宋" w:hAnsi="仿宋" w:eastAsia="仿宋" w:cs="仿宋"/>
          <w:bCs/>
          <w:sz w:val="20"/>
          <w:szCs w:val="20"/>
        </w:rPr>
      </w:pPr>
      <w:r>
        <w:rPr>
          <w:rFonts w:hint="eastAsia" w:ascii="仿宋" w:hAnsi="仿宋" w:eastAsia="仿宋" w:cs="仿宋"/>
          <w:bCs/>
          <w:sz w:val="20"/>
          <w:szCs w:val="20"/>
        </w:rPr>
        <w:t>在货物采购项目中，供应商提供的货物既有中小企业制造货物，也有大型企业制造货物的，不享受本办法规定的中小企业扶持政策。</w:t>
      </w:r>
    </w:p>
    <w:p>
      <w:pPr>
        <w:snapToGrid w:val="0"/>
        <w:spacing w:line="360" w:lineRule="auto"/>
        <w:ind w:firstLine="400" w:firstLineChars="200"/>
        <w:textAlignment w:val="baseline"/>
        <w:rPr>
          <w:rFonts w:ascii="仿宋" w:hAnsi="仿宋" w:eastAsia="仿宋" w:cs="仿宋"/>
          <w:bCs/>
          <w:sz w:val="20"/>
          <w:szCs w:val="20"/>
        </w:rPr>
      </w:pPr>
      <w:r>
        <w:rPr>
          <w:rFonts w:hint="eastAsia" w:ascii="仿宋" w:hAnsi="仿宋" w:eastAsia="仿宋" w:cs="仿宋"/>
          <w:bCs/>
          <w:sz w:val="20"/>
          <w:szCs w:val="20"/>
        </w:rPr>
        <w:t>以联合体形式参加政府采购活动，联合体各方均为中小企业的，联合体视同中小企业。其中，联合体各方均为小微企业的，联合体视同小微企业。</w:t>
      </w:r>
    </w:p>
    <w:p>
      <w:pPr>
        <w:snapToGrid w:val="0"/>
        <w:spacing w:line="360" w:lineRule="auto"/>
        <w:ind w:firstLine="400" w:firstLineChars="200"/>
        <w:textAlignment w:val="baseline"/>
        <w:rPr>
          <w:rFonts w:ascii="仿宋" w:hAnsi="仿宋" w:eastAsia="仿宋" w:cs="仿宋"/>
          <w:bCs/>
          <w:sz w:val="20"/>
          <w:szCs w:val="20"/>
        </w:rPr>
      </w:pPr>
      <w:r>
        <w:rPr>
          <w:rFonts w:hint="eastAsia" w:ascii="仿宋" w:hAnsi="仿宋" w:eastAsia="仿宋" w:cs="仿宋"/>
          <w:bCs/>
          <w:sz w:val="20"/>
          <w:szCs w:val="20"/>
        </w:rPr>
        <w:t>（二）参加政府采购活动的中小企业应当提供《中小企业声明函》、由省级以上监狱管理局戒毒管理局(含新疆生产建设兵团)出具的属于监狱企业的证明文件或《残疾人福利性单位声明函》。</w:t>
      </w:r>
    </w:p>
    <w:p>
      <w:pPr>
        <w:snapToGrid w:val="0"/>
        <w:spacing w:line="360" w:lineRule="auto"/>
        <w:ind w:firstLine="400" w:firstLineChars="200"/>
        <w:textAlignment w:val="baseline"/>
        <w:rPr>
          <w:rFonts w:ascii="仿宋" w:hAnsi="仿宋" w:eastAsia="仿宋" w:cs="仿宋"/>
          <w:bCs/>
          <w:sz w:val="20"/>
          <w:szCs w:val="16"/>
        </w:rPr>
      </w:pPr>
      <w:r>
        <w:rPr>
          <w:rFonts w:hint="eastAsia" w:ascii="仿宋" w:hAnsi="仿宋" w:eastAsia="仿宋" w:cs="仿宋"/>
          <w:bCs/>
          <w:sz w:val="20"/>
          <w:szCs w:val="20"/>
        </w:rPr>
        <w:t>（三）</w:t>
      </w:r>
      <w:r>
        <w:rPr>
          <w:rFonts w:hint="eastAsia" w:ascii="仿宋" w:hAnsi="仿宋" w:eastAsia="仿宋" w:cs="仿宋"/>
          <w:bCs/>
          <w:sz w:val="20"/>
          <w:szCs w:val="16"/>
        </w:rPr>
        <w:t>根据46号文第九条，接受大中型企业与小微企业组成联合体或者允许大中型企业向一家或者多家小微企业分包的采购项目，对于联合协议或者分包意向协议约定小微企业的合同份额占到合同总金额 30%以上的，给予联合体2%的价格扣除，用扣除后的价格参加评审。</w:t>
      </w:r>
    </w:p>
    <w:p>
      <w:pPr>
        <w:pStyle w:val="41"/>
        <w:spacing w:before="0" w:after="0"/>
        <w:textAlignment w:val="baseline"/>
        <w:rPr>
          <w:rFonts w:ascii="仿宋" w:hAnsi="仿宋" w:eastAsia="仿宋" w:cs="仿宋"/>
        </w:rPr>
      </w:pPr>
      <w:r>
        <w:rPr>
          <w:rFonts w:hint="eastAsia" w:ascii="仿宋" w:hAnsi="仿宋" w:eastAsia="仿宋" w:cs="仿宋"/>
        </w:rPr>
        <w:br w:type="page"/>
      </w:r>
    </w:p>
    <w:p>
      <w:pPr>
        <w:pStyle w:val="42"/>
        <w:spacing w:after="312" w:line="360" w:lineRule="auto"/>
        <w:textAlignment w:val="baseline"/>
        <w:rPr>
          <w:rFonts w:ascii="仿宋" w:hAnsi="仿宋" w:eastAsia="仿宋" w:cs="仿宋"/>
        </w:rPr>
      </w:pPr>
      <w:bookmarkStart w:id="120" w:name="_Toc19123"/>
      <w:bookmarkStart w:id="121" w:name="_Toc8258"/>
      <w:r>
        <w:rPr>
          <w:rFonts w:hint="eastAsia" w:ascii="仿宋" w:hAnsi="仿宋" w:eastAsia="仿宋" w:cs="仿宋"/>
        </w:rPr>
        <w:t>第六章  响应文件格式</w:t>
      </w:r>
      <w:bookmarkEnd w:id="61"/>
      <w:bookmarkEnd w:id="62"/>
      <w:bookmarkEnd w:id="63"/>
      <w:bookmarkEnd w:id="97"/>
      <w:bookmarkEnd w:id="98"/>
      <w:bookmarkEnd w:id="99"/>
      <w:bookmarkEnd w:id="117"/>
      <w:bookmarkEnd w:id="118"/>
      <w:bookmarkEnd w:id="119"/>
      <w:bookmarkEnd w:id="120"/>
      <w:bookmarkEnd w:id="121"/>
    </w:p>
    <w:p>
      <w:pPr>
        <w:pStyle w:val="41"/>
        <w:spacing w:before="0" w:after="0"/>
        <w:ind w:firstLine="0" w:firstLineChars="0"/>
        <w:jc w:val="center"/>
        <w:textAlignment w:val="baseline"/>
        <w:rPr>
          <w:rFonts w:ascii="仿宋" w:hAnsi="仿宋" w:eastAsia="仿宋" w:cs="仿宋"/>
          <w:b/>
          <w:bCs/>
          <w:sz w:val="72"/>
          <w:szCs w:val="72"/>
        </w:rPr>
      </w:pPr>
      <w:bookmarkStart w:id="122" w:name="_Toc12623"/>
      <w:bookmarkStart w:id="123" w:name="_Toc32395"/>
    </w:p>
    <w:p>
      <w:pPr>
        <w:pStyle w:val="41"/>
        <w:spacing w:before="0" w:after="0"/>
        <w:ind w:firstLine="0" w:firstLineChars="0"/>
        <w:jc w:val="center"/>
        <w:textAlignment w:val="baseline"/>
        <w:rPr>
          <w:rFonts w:ascii="仿宋" w:hAnsi="仿宋" w:eastAsia="仿宋" w:cs="仿宋"/>
          <w:b/>
          <w:bCs/>
          <w:sz w:val="72"/>
          <w:szCs w:val="72"/>
        </w:rPr>
      </w:pPr>
      <w:r>
        <w:rPr>
          <w:rFonts w:hint="eastAsia" w:ascii="仿宋" w:hAnsi="仿宋" w:eastAsia="仿宋" w:cs="仿宋"/>
          <w:b/>
          <w:bCs/>
          <w:sz w:val="72"/>
          <w:szCs w:val="72"/>
        </w:rPr>
        <w:t>竞争性磋商响应文件</w:t>
      </w:r>
      <w:bookmarkEnd w:id="122"/>
      <w:bookmarkEnd w:id="123"/>
    </w:p>
    <w:p>
      <w:pPr>
        <w:pStyle w:val="41"/>
        <w:spacing w:before="0" w:after="0"/>
        <w:ind w:firstLine="0" w:firstLineChars="0"/>
        <w:jc w:val="center"/>
        <w:textAlignment w:val="baseline"/>
        <w:rPr>
          <w:rFonts w:ascii="仿宋" w:hAnsi="仿宋" w:eastAsia="仿宋" w:cs="仿宋"/>
          <w:b/>
          <w:bCs/>
          <w:sz w:val="52"/>
          <w:szCs w:val="52"/>
        </w:rPr>
      </w:pPr>
      <w:bookmarkStart w:id="124" w:name="_Toc3841"/>
      <w:bookmarkStart w:id="125" w:name="_Toc27695"/>
    </w:p>
    <w:p>
      <w:pPr>
        <w:pStyle w:val="41"/>
        <w:spacing w:before="0" w:after="0"/>
        <w:ind w:firstLine="0" w:firstLineChars="0"/>
        <w:jc w:val="center"/>
        <w:textAlignment w:val="baseline"/>
        <w:rPr>
          <w:rFonts w:ascii="仿宋" w:hAnsi="仿宋" w:eastAsia="仿宋" w:cs="仿宋"/>
          <w:b/>
          <w:bCs/>
          <w:sz w:val="32"/>
          <w:szCs w:val="32"/>
        </w:rPr>
      </w:pPr>
      <w:r>
        <w:rPr>
          <w:rFonts w:hint="eastAsia" w:ascii="仿宋" w:hAnsi="仿宋" w:eastAsia="仿宋" w:cs="仿宋"/>
          <w:b/>
          <w:bCs/>
          <w:sz w:val="52"/>
          <w:szCs w:val="52"/>
        </w:rPr>
        <w:t>（正本或副本）</w:t>
      </w:r>
      <w:bookmarkEnd w:id="124"/>
      <w:bookmarkEnd w:id="125"/>
    </w:p>
    <w:p>
      <w:pPr>
        <w:pStyle w:val="41"/>
        <w:spacing w:before="0" w:after="0"/>
        <w:ind w:firstLine="0" w:firstLineChars="0"/>
        <w:textAlignment w:val="baseline"/>
        <w:rPr>
          <w:rFonts w:ascii="仿宋" w:hAnsi="仿宋" w:eastAsia="仿宋" w:cs="仿宋"/>
        </w:rPr>
      </w:pPr>
    </w:p>
    <w:p>
      <w:pPr>
        <w:pStyle w:val="41"/>
        <w:spacing w:before="0" w:after="0"/>
        <w:ind w:firstLine="0" w:firstLineChars="0"/>
        <w:textAlignment w:val="baseline"/>
        <w:rPr>
          <w:rFonts w:ascii="仿宋" w:hAnsi="仿宋" w:eastAsia="仿宋" w:cs="仿宋"/>
        </w:rPr>
      </w:pPr>
    </w:p>
    <w:p>
      <w:pPr>
        <w:pStyle w:val="41"/>
        <w:spacing w:before="0" w:after="0"/>
        <w:ind w:firstLine="0" w:firstLineChars="0"/>
        <w:textAlignment w:val="baseline"/>
        <w:rPr>
          <w:rFonts w:ascii="仿宋" w:hAnsi="仿宋" w:eastAsia="仿宋" w:cs="仿宋"/>
        </w:rPr>
      </w:pPr>
    </w:p>
    <w:p>
      <w:pPr>
        <w:pStyle w:val="41"/>
        <w:spacing w:before="0" w:after="0"/>
        <w:textAlignment w:val="baseline"/>
        <w:rPr>
          <w:rFonts w:ascii="仿宋" w:hAnsi="仿宋" w:eastAsia="仿宋" w:cs="仿宋"/>
        </w:rPr>
      </w:pPr>
    </w:p>
    <w:p>
      <w:pPr>
        <w:pStyle w:val="41"/>
        <w:spacing w:before="0" w:after="0"/>
        <w:ind w:firstLine="0" w:firstLineChars="0"/>
        <w:jc w:val="center"/>
        <w:textAlignment w:val="baseline"/>
        <w:rPr>
          <w:rFonts w:ascii="仿宋" w:hAnsi="仿宋" w:eastAsia="仿宋" w:cs="仿宋"/>
          <w:b/>
          <w:bCs/>
          <w:sz w:val="36"/>
          <w:szCs w:val="36"/>
        </w:rPr>
      </w:pPr>
      <w:bookmarkStart w:id="126" w:name="_Toc25917"/>
      <w:bookmarkStart w:id="127" w:name="_Toc32649"/>
      <w:r>
        <w:rPr>
          <w:rFonts w:hint="eastAsia" w:ascii="仿宋" w:hAnsi="仿宋" w:eastAsia="仿宋" w:cs="仿宋"/>
          <w:b/>
          <w:bCs/>
          <w:sz w:val="36"/>
          <w:szCs w:val="36"/>
        </w:rPr>
        <w:t>项目名称：</w:t>
      </w:r>
      <w:bookmarkEnd w:id="126"/>
      <w:bookmarkEnd w:id="127"/>
      <w:r>
        <w:rPr>
          <w:rFonts w:hint="eastAsia" w:ascii="仿宋" w:hAnsi="仿宋" w:eastAsia="仿宋" w:cs="仿宋"/>
          <w:b/>
          <w:bCs/>
          <w:sz w:val="36"/>
          <w:szCs w:val="36"/>
        </w:rPr>
        <w:t>江苏法院人事管理系统运维服务</w:t>
      </w:r>
    </w:p>
    <w:p>
      <w:pPr>
        <w:pStyle w:val="41"/>
        <w:spacing w:before="0" w:after="0"/>
        <w:ind w:firstLine="0" w:firstLineChars="0"/>
        <w:jc w:val="center"/>
        <w:textAlignment w:val="baseline"/>
        <w:rPr>
          <w:rFonts w:ascii="仿宋" w:hAnsi="仿宋" w:eastAsia="仿宋" w:cs="仿宋"/>
          <w:b/>
          <w:bCs/>
          <w:sz w:val="36"/>
          <w:szCs w:val="36"/>
        </w:rPr>
      </w:pPr>
      <w:bookmarkStart w:id="128" w:name="_Toc21908"/>
      <w:bookmarkStart w:id="129" w:name="_Toc25091"/>
    </w:p>
    <w:p>
      <w:pPr>
        <w:pStyle w:val="41"/>
        <w:spacing w:before="0" w:after="0"/>
        <w:ind w:firstLine="0" w:firstLineChars="0"/>
        <w:jc w:val="center"/>
        <w:textAlignment w:val="baseline"/>
        <w:rPr>
          <w:rFonts w:ascii="仿宋" w:hAnsi="仿宋" w:eastAsia="仿宋" w:cs="仿宋"/>
          <w:b/>
          <w:bCs/>
          <w:sz w:val="36"/>
          <w:szCs w:val="36"/>
        </w:rPr>
      </w:pPr>
      <w:r>
        <w:rPr>
          <w:rFonts w:hint="eastAsia" w:ascii="仿宋" w:hAnsi="仿宋" w:eastAsia="仿宋" w:cs="仿宋"/>
          <w:b/>
          <w:bCs/>
          <w:sz w:val="36"/>
          <w:szCs w:val="36"/>
        </w:rPr>
        <w:t>项目编号：</w:t>
      </w:r>
      <w:bookmarkEnd w:id="128"/>
      <w:bookmarkEnd w:id="129"/>
      <w:r>
        <w:rPr>
          <w:rFonts w:hint="eastAsia" w:ascii="仿宋" w:hAnsi="仿宋" w:eastAsia="仿宋" w:cs="仿宋"/>
          <w:b/>
          <w:bCs/>
          <w:sz w:val="36"/>
          <w:szCs w:val="36"/>
        </w:rPr>
        <w:t>NJDCX-202311220826</w:t>
      </w:r>
    </w:p>
    <w:p>
      <w:pPr>
        <w:pStyle w:val="41"/>
        <w:spacing w:before="0" w:after="0"/>
        <w:textAlignment w:val="baseline"/>
        <w:rPr>
          <w:rFonts w:ascii="仿宋" w:hAnsi="仿宋" w:eastAsia="仿宋" w:cs="仿宋"/>
        </w:rPr>
      </w:pPr>
    </w:p>
    <w:p>
      <w:pPr>
        <w:pStyle w:val="41"/>
        <w:spacing w:before="0" w:after="0"/>
        <w:textAlignment w:val="baseline"/>
        <w:rPr>
          <w:rFonts w:ascii="仿宋" w:hAnsi="仿宋" w:eastAsia="仿宋" w:cs="仿宋"/>
        </w:rPr>
      </w:pPr>
    </w:p>
    <w:p>
      <w:pPr>
        <w:pStyle w:val="41"/>
        <w:spacing w:before="0" w:after="0"/>
        <w:textAlignment w:val="baseline"/>
        <w:rPr>
          <w:rFonts w:ascii="仿宋" w:hAnsi="仿宋" w:eastAsia="仿宋" w:cs="仿宋"/>
        </w:rPr>
      </w:pPr>
    </w:p>
    <w:p>
      <w:pPr>
        <w:pStyle w:val="41"/>
        <w:spacing w:before="0" w:after="0"/>
        <w:textAlignment w:val="baseline"/>
        <w:rPr>
          <w:rFonts w:ascii="仿宋" w:hAnsi="仿宋" w:eastAsia="仿宋" w:cs="仿宋"/>
        </w:rPr>
      </w:pPr>
    </w:p>
    <w:p>
      <w:pPr>
        <w:pStyle w:val="41"/>
        <w:spacing w:before="0" w:after="0"/>
        <w:ind w:firstLine="0" w:firstLineChars="0"/>
        <w:textAlignment w:val="baseline"/>
        <w:rPr>
          <w:rFonts w:ascii="仿宋" w:hAnsi="仿宋" w:eastAsia="仿宋" w:cs="仿宋"/>
        </w:rPr>
      </w:pPr>
    </w:p>
    <w:p>
      <w:pPr>
        <w:pStyle w:val="41"/>
        <w:spacing w:before="0" w:after="0"/>
        <w:textAlignment w:val="baseline"/>
        <w:rPr>
          <w:rFonts w:ascii="仿宋" w:hAnsi="仿宋" w:eastAsia="仿宋" w:cs="仿宋"/>
        </w:rPr>
      </w:pPr>
    </w:p>
    <w:p>
      <w:pPr>
        <w:pStyle w:val="41"/>
        <w:spacing w:before="0" w:after="0"/>
        <w:ind w:firstLine="843" w:firstLineChars="300"/>
        <w:textAlignment w:val="baseline"/>
        <w:rPr>
          <w:rFonts w:ascii="仿宋" w:hAnsi="仿宋" w:eastAsia="仿宋" w:cs="仿宋"/>
          <w:b/>
          <w:bCs/>
          <w:sz w:val="28"/>
          <w:szCs w:val="28"/>
        </w:rPr>
      </w:pPr>
      <w:bookmarkStart w:id="130" w:name="_Toc19894"/>
      <w:bookmarkStart w:id="131" w:name="_Toc27537"/>
      <w:r>
        <w:rPr>
          <w:rFonts w:hint="eastAsia" w:ascii="仿宋" w:hAnsi="仿宋" w:eastAsia="仿宋" w:cs="仿宋"/>
          <w:b/>
          <w:bCs/>
          <w:sz w:val="28"/>
          <w:szCs w:val="28"/>
        </w:rPr>
        <w:t>供应商名称 ：</w:t>
      </w:r>
      <w:bookmarkEnd w:id="130"/>
      <w:bookmarkEnd w:id="131"/>
    </w:p>
    <w:p>
      <w:pPr>
        <w:pStyle w:val="41"/>
        <w:spacing w:before="0" w:after="0"/>
        <w:ind w:firstLine="843" w:firstLineChars="300"/>
        <w:textAlignment w:val="baseline"/>
        <w:rPr>
          <w:rFonts w:ascii="仿宋" w:hAnsi="仿宋" w:eastAsia="仿宋" w:cs="仿宋"/>
          <w:b/>
          <w:bCs/>
          <w:sz w:val="28"/>
          <w:szCs w:val="28"/>
        </w:rPr>
      </w:pPr>
      <w:bookmarkStart w:id="132" w:name="_Toc14028"/>
      <w:bookmarkStart w:id="133" w:name="_Toc5222"/>
      <w:r>
        <w:rPr>
          <w:rFonts w:hint="eastAsia" w:ascii="仿宋" w:hAnsi="仿宋" w:eastAsia="仿宋" w:cs="仿宋"/>
          <w:b/>
          <w:bCs/>
          <w:sz w:val="28"/>
          <w:szCs w:val="28"/>
        </w:rPr>
        <w:t>授权代表   ：</w:t>
      </w:r>
      <w:bookmarkEnd w:id="132"/>
      <w:bookmarkEnd w:id="133"/>
    </w:p>
    <w:p>
      <w:pPr>
        <w:pStyle w:val="41"/>
        <w:spacing w:before="0" w:after="0"/>
        <w:ind w:firstLine="843" w:firstLineChars="300"/>
        <w:textAlignment w:val="baseline"/>
        <w:rPr>
          <w:rFonts w:ascii="仿宋" w:hAnsi="仿宋" w:eastAsia="仿宋" w:cs="仿宋"/>
        </w:rPr>
      </w:pPr>
      <w:bookmarkStart w:id="134" w:name="_Toc28"/>
      <w:bookmarkStart w:id="135" w:name="_Toc16453"/>
      <w:r>
        <w:rPr>
          <w:rFonts w:hint="eastAsia" w:ascii="仿宋" w:hAnsi="仿宋" w:eastAsia="仿宋" w:cs="仿宋"/>
          <w:b/>
          <w:bCs/>
          <w:sz w:val="28"/>
          <w:szCs w:val="28"/>
        </w:rPr>
        <w:t>日      期 ：</w:t>
      </w:r>
      <w:bookmarkEnd w:id="134"/>
      <w:bookmarkEnd w:id="135"/>
    </w:p>
    <w:p>
      <w:pPr>
        <w:spacing w:line="360" w:lineRule="auto"/>
        <w:jc w:val="center"/>
        <w:textAlignment w:val="baseline"/>
        <w:rPr>
          <w:rFonts w:ascii="仿宋" w:hAnsi="仿宋" w:eastAsia="仿宋" w:cs="仿宋"/>
          <w:b/>
          <w:bCs/>
          <w:sz w:val="36"/>
          <w:szCs w:val="36"/>
          <w:u w:val="single"/>
        </w:rPr>
      </w:pPr>
      <w:r>
        <w:rPr>
          <w:rFonts w:hint="eastAsia" w:ascii="仿宋" w:hAnsi="仿宋" w:eastAsia="仿宋" w:cs="仿宋"/>
          <w:b/>
          <w:bCs/>
          <w:sz w:val="36"/>
          <w:szCs w:val="36"/>
          <w:u w:val="single"/>
        </w:rPr>
        <w:br w:type="page"/>
      </w:r>
    </w:p>
    <w:p>
      <w:pPr>
        <w:spacing w:line="360" w:lineRule="auto"/>
        <w:jc w:val="center"/>
        <w:textAlignment w:val="baseline"/>
        <w:rPr>
          <w:rFonts w:ascii="仿宋" w:hAnsi="仿宋" w:eastAsia="仿宋" w:cs="仿宋"/>
          <w:b/>
          <w:sz w:val="36"/>
          <w:u w:val="single"/>
        </w:rPr>
      </w:pPr>
      <w:bookmarkStart w:id="136" w:name="_Toc27163"/>
      <w:bookmarkStart w:id="137" w:name="_Toc9798"/>
    </w:p>
    <w:p>
      <w:pPr>
        <w:spacing w:before="312" w:after="312" w:line="360" w:lineRule="auto"/>
        <w:jc w:val="center"/>
        <w:textAlignment w:val="baseline"/>
        <w:rPr>
          <w:rFonts w:ascii="仿宋" w:hAnsi="仿宋" w:eastAsia="仿宋" w:cs="仿宋"/>
          <w:b/>
          <w:bCs/>
          <w:sz w:val="28"/>
          <w:szCs w:val="28"/>
        </w:rPr>
      </w:pPr>
      <w:r>
        <w:rPr>
          <w:rFonts w:hint="eastAsia" w:ascii="仿宋" w:hAnsi="仿宋" w:eastAsia="仿宋" w:cs="仿宋"/>
          <w:b/>
          <w:bCs/>
          <w:sz w:val="28"/>
          <w:szCs w:val="28"/>
        </w:rPr>
        <w:t>资格性和符合性检查响应对照表</w:t>
      </w:r>
      <w:bookmarkEnd w:id="136"/>
      <w:bookmarkEnd w:id="137"/>
    </w:p>
    <w:tbl>
      <w:tblPr>
        <w:tblStyle w:val="31"/>
        <w:tblW w:w="95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5415"/>
        <w:gridCol w:w="1852"/>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721" w:type="dxa"/>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sz w:val="24"/>
                <w:szCs w:val="24"/>
              </w:rPr>
              <w:t>序号</w:t>
            </w:r>
          </w:p>
        </w:tc>
        <w:tc>
          <w:tcPr>
            <w:tcW w:w="5415" w:type="dxa"/>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sz w:val="24"/>
                <w:szCs w:val="24"/>
              </w:rPr>
              <w:t>资格和符合性检查响应内容</w:t>
            </w:r>
          </w:p>
        </w:tc>
        <w:tc>
          <w:tcPr>
            <w:tcW w:w="1852" w:type="dxa"/>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sz w:val="24"/>
                <w:szCs w:val="24"/>
              </w:rPr>
              <w:t>是否响应</w:t>
            </w:r>
          </w:p>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sz w:val="24"/>
                <w:szCs w:val="24"/>
              </w:rPr>
              <w:t>（填是或者否）</w:t>
            </w:r>
          </w:p>
        </w:tc>
        <w:tc>
          <w:tcPr>
            <w:tcW w:w="1590" w:type="dxa"/>
            <w:vAlign w:val="center"/>
          </w:tcPr>
          <w:p>
            <w:pPr>
              <w:snapToGrid w:val="0"/>
              <w:spacing w:line="0" w:lineRule="atLeast"/>
              <w:jc w:val="center"/>
              <w:textAlignment w:val="baseline"/>
              <w:rPr>
                <w:rFonts w:ascii="仿宋" w:hAnsi="仿宋" w:eastAsia="仿宋" w:cs="仿宋"/>
                <w:sz w:val="24"/>
                <w:szCs w:val="24"/>
              </w:rPr>
            </w:pPr>
            <w:r>
              <w:rPr>
                <w:rFonts w:hint="eastAsia" w:ascii="仿宋" w:hAnsi="仿宋" w:eastAsia="仿宋" w:cs="仿宋"/>
                <w:sz w:val="24"/>
                <w:szCs w:val="24"/>
              </w:rPr>
              <w:t>响应文件中的页码位置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721" w:type="dxa"/>
            <w:vAlign w:val="center"/>
          </w:tcPr>
          <w:p>
            <w:pPr>
              <w:snapToGrid w:val="0"/>
              <w:spacing w:line="0" w:lineRule="atLeast"/>
              <w:jc w:val="center"/>
              <w:textAlignment w:val="baseline"/>
              <w:rPr>
                <w:rFonts w:ascii="仿宋" w:hAnsi="仿宋" w:eastAsia="仿宋" w:cs="仿宋"/>
                <w:sz w:val="28"/>
                <w:szCs w:val="28"/>
              </w:rPr>
            </w:pPr>
            <w:r>
              <w:rPr>
                <w:rFonts w:hint="eastAsia" w:ascii="仿宋" w:hAnsi="仿宋" w:eastAsia="仿宋" w:cs="仿宋"/>
                <w:sz w:val="28"/>
                <w:szCs w:val="28"/>
              </w:rPr>
              <w:t>1</w:t>
            </w:r>
          </w:p>
        </w:tc>
        <w:tc>
          <w:tcPr>
            <w:tcW w:w="5415" w:type="dxa"/>
            <w:vAlign w:val="center"/>
          </w:tcPr>
          <w:p>
            <w:pPr>
              <w:snapToGrid w:val="0"/>
              <w:spacing w:line="0" w:lineRule="atLeast"/>
              <w:textAlignment w:val="baseline"/>
              <w:rPr>
                <w:rFonts w:ascii="仿宋" w:hAnsi="仿宋" w:eastAsia="仿宋" w:cs="仿宋"/>
                <w:b/>
                <w:bCs/>
                <w:i/>
                <w:iCs/>
                <w:sz w:val="24"/>
                <w:szCs w:val="24"/>
                <w:u w:val="single"/>
              </w:rPr>
            </w:pPr>
            <w:r>
              <w:rPr>
                <w:rFonts w:hint="eastAsia" w:ascii="仿宋" w:hAnsi="仿宋" w:eastAsia="仿宋" w:cs="仿宋"/>
                <w:b/>
                <w:bCs/>
                <w:i/>
                <w:iCs/>
                <w:sz w:val="24"/>
                <w:szCs w:val="24"/>
                <w:u w:val="single" w:color="000000"/>
              </w:rPr>
              <w:t>具有独立承担民事责任的能力（提供法人或者其他组织的营业执照复印件并加盖公章，或者自然人的身份证明）；</w:t>
            </w:r>
          </w:p>
        </w:tc>
        <w:tc>
          <w:tcPr>
            <w:tcW w:w="1852" w:type="dxa"/>
            <w:vAlign w:val="center"/>
          </w:tcPr>
          <w:p>
            <w:pPr>
              <w:snapToGrid w:val="0"/>
              <w:spacing w:line="0" w:lineRule="atLeast"/>
              <w:textAlignment w:val="baseline"/>
              <w:rPr>
                <w:rFonts w:ascii="仿宋" w:hAnsi="仿宋" w:eastAsia="仿宋" w:cs="仿宋"/>
                <w:sz w:val="28"/>
                <w:szCs w:val="28"/>
              </w:rPr>
            </w:pPr>
          </w:p>
        </w:tc>
        <w:tc>
          <w:tcPr>
            <w:tcW w:w="1590" w:type="dxa"/>
            <w:vAlign w:val="center"/>
          </w:tcPr>
          <w:p>
            <w:pPr>
              <w:snapToGrid w:val="0"/>
              <w:spacing w:line="0" w:lineRule="atLeast"/>
              <w:textAlignment w:val="baseline"/>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721" w:type="dxa"/>
            <w:vAlign w:val="center"/>
          </w:tcPr>
          <w:p>
            <w:pPr>
              <w:snapToGrid w:val="0"/>
              <w:spacing w:line="0" w:lineRule="atLeast"/>
              <w:jc w:val="center"/>
              <w:textAlignment w:val="baseline"/>
              <w:rPr>
                <w:rFonts w:ascii="仿宋" w:hAnsi="仿宋" w:eastAsia="仿宋" w:cs="仿宋"/>
                <w:sz w:val="28"/>
                <w:szCs w:val="28"/>
              </w:rPr>
            </w:pPr>
            <w:r>
              <w:rPr>
                <w:rFonts w:hint="eastAsia" w:ascii="仿宋" w:hAnsi="仿宋" w:eastAsia="仿宋" w:cs="仿宋"/>
                <w:sz w:val="28"/>
                <w:szCs w:val="28"/>
              </w:rPr>
              <w:t>2</w:t>
            </w:r>
          </w:p>
        </w:tc>
        <w:tc>
          <w:tcPr>
            <w:tcW w:w="5415" w:type="dxa"/>
            <w:vAlign w:val="center"/>
          </w:tcPr>
          <w:p>
            <w:pPr>
              <w:snapToGrid w:val="0"/>
              <w:spacing w:line="0" w:lineRule="atLeast"/>
              <w:textAlignment w:val="baseline"/>
              <w:rPr>
                <w:rFonts w:ascii="仿宋" w:hAnsi="仿宋" w:eastAsia="仿宋" w:cs="仿宋"/>
                <w:b/>
                <w:bCs/>
                <w:i/>
                <w:iCs/>
                <w:sz w:val="24"/>
                <w:szCs w:val="24"/>
                <w:u w:val="single"/>
              </w:rPr>
            </w:pPr>
            <w:r>
              <w:rPr>
                <w:rFonts w:hint="eastAsia" w:ascii="仿宋" w:hAnsi="仿宋" w:eastAsia="仿宋" w:cs="仿宋"/>
                <w:b/>
                <w:bCs/>
                <w:i/>
                <w:iCs/>
                <w:sz w:val="24"/>
                <w:szCs w:val="24"/>
                <w:u w:val="single" w:color="000000"/>
              </w:rPr>
              <w:t>具有良好的商业信誉和健全的财务会计制度（提供2022年度财务报告或银行出具的企业资信证明，法人或者其他组织成立未满一年的可提供近半年内任一月的资产负债和利润表）；</w:t>
            </w:r>
          </w:p>
        </w:tc>
        <w:tc>
          <w:tcPr>
            <w:tcW w:w="1852" w:type="dxa"/>
            <w:vAlign w:val="center"/>
          </w:tcPr>
          <w:p>
            <w:pPr>
              <w:snapToGrid w:val="0"/>
              <w:spacing w:line="0" w:lineRule="atLeast"/>
              <w:textAlignment w:val="baseline"/>
              <w:rPr>
                <w:rFonts w:ascii="仿宋" w:hAnsi="仿宋" w:eastAsia="仿宋" w:cs="仿宋"/>
                <w:sz w:val="28"/>
                <w:szCs w:val="28"/>
              </w:rPr>
            </w:pPr>
          </w:p>
        </w:tc>
        <w:tc>
          <w:tcPr>
            <w:tcW w:w="1590" w:type="dxa"/>
            <w:vAlign w:val="center"/>
          </w:tcPr>
          <w:p>
            <w:pPr>
              <w:snapToGrid w:val="0"/>
              <w:spacing w:line="0" w:lineRule="atLeast"/>
              <w:textAlignment w:val="baseline"/>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721" w:type="dxa"/>
            <w:vAlign w:val="center"/>
          </w:tcPr>
          <w:p>
            <w:pPr>
              <w:snapToGrid w:val="0"/>
              <w:spacing w:line="0" w:lineRule="atLeast"/>
              <w:jc w:val="center"/>
              <w:textAlignment w:val="baseline"/>
              <w:rPr>
                <w:rFonts w:ascii="仿宋" w:hAnsi="仿宋" w:eastAsia="仿宋" w:cs="仿宋"/>
                <w:sz w:val="28"/>
                <w:szCs w:val="28"/>
              </w:rPr>
            </w:pPr>
            <w:r>
              <w:rPr>
                <w:rFonts w:hint="eastAsia" w:ascii="仿宋" w:hAnsi="仿宋" w:eastAsia="仿宋" w:cs="仿宋"/>
                <w:sz w:val="28"/>
                <w:szCs w:val="28"/>
              </w:rPr>
              <w:t>3</w:t>
            </w:r>
          </w:p>
        </w:tc>
        <w:tc>
          <w:tcPr>
            <w:tcW w:w="5415" w:type="dxa"/>
            <w:vAlign w:val="center"/>
          </w:tcPr>
          <w:p>
            <w:pPr>
              <w:snapToGrid w:val="0"/>
              <w:spacing w:line="0" w:lineRule="atLeast"/>
              <w:textAlignment w:val="baseline"/>
              <w:rPr>
                <w:rFonts w:ascii="仿宋" w:hAnsi="仿宋" w:eastAsia="仿宋" w:cs="仿宋"/>
                <w:b/>
                <w:bCs/>
                <w:i/>
                <w:iCs/>
                <w:sz w:val="24"/>
                <w:szCs w:val="24"/>
                <w:u w:val="single"/>
              </w:rPr>
            </w:pPr>
            <w:r>
              <w:rPr>
                <w:rFonts w:hint="eastAsia" w:ascii="仿宋" w:hAnsi="仿宋" w:eastAsia="仿宋" w:cs="仿宋"/>
                <w:b/>
                <w:bCs/>
                <w:i/>
                <w:iCs/>
                <w:sz w:val="24"/>
                <w:szCs w:val="24"/>
                <w:u w:val="single" w:color="000000"/>
              </w:rPr>
              <w:t>具有履行合同所必需的设备和专业技术能力（根据项目需求提供履行合同所必需的设备和专业技术能力的证明材料或声明函）；</w:t>
            </w:r>
          </w:p>
        </w:tc>
        <w:tc>
          <w:tcPr>
            <w:tcW w:w="1852" w:type="dxa"/>
            <w:vAlign w:val="center"/>
          </w:tcPr>
          <w:p>
            <w:pPr>
              <w:snapToGrid w:val="0"/>
              <w:spacing w:line="0" w:lineRule="atLeast"/>
              <w:textAlignment w:val="baseline"/>
              <w:rPr>
                <w:rFonts w:ascii="仿宋" w:hAnsi="仿宋" w:eastAsia="仿宋" w:cs="仿宋"/>
                <w:sz w:val="28"/>
                <w:szCs w:val="28"/>
              </w:rPr>
            </w:pPr>
          </w:p>
        </w:tc>
        <w:tc>
          <w:tcPr>
            <w:tcW w:w="1590" w:type="dxa"/>
            <w:vAlign w:val="center"/>
          </w:tcPr>
          <w:p>
            <w:pPr>
              <w:snapToGrid w:val="0"/>
              <w:spacing w:line="0" w:lineRule="atLeast"/>
              <w:textAlignment w:val="baseline"/>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721" w:type="dxa"/>
            <w:vAlign w:val="center"/>
          </w:tcPr>
          <w:p>
            <w:pPr>
              <w:snapToGrid w:val="0"/>
              <w:spacing w:line="0" w:lineRule="atLeast"/>
              <w:jc w:val="center"/>
              <w:textAlignment w:val="baseline"/>
              <w:rPr>
                <w:rFonts w:ascii="仿宋" w:hAnsi="仿宋" w:eastAsia="仿宋" w:cs="仿宋"/>
                <w:sz w:val="28"/>
                <w:szCs w:val="28"/>
              </w:rPr>
            </w:pPr>
            <w:r>
              <w:rPr>
                <w:rFonts w:hint="eastAsia" w:ascii="仿宋" w:hAnsi="仿宋" w:eastAsia="仿宋" w:cs="仿宋"/>
                <w:sz w:val="28"/>
                <w:szCs w:val="28"/>
              </w:rPr>
              <w:t>4</w:t>
            </w:r>
          </w:p>
        </w:tc>
        <w:tc>
          <w:tcPr>
            <w:tcW w:w="5415" w:type="dxa"/>
            <w:vAlign w:val="center"/>
          </w:tcPr>
          <w:p>
            <w:pPr>
              <w:snapToGrid w:val="0"/>
              <w:spacing w:line="0" w:lineRule="atLeast"/>
              <w:textAlignment w:val="baseline"/>
              <w:rPr>
                <w:rFonts w:ascii="仿宋" w:hAnsi="仿宋" w:eastAsia="仿宋" w:cs="仿宋"/>
                <w:b/>
                <w:bCs/>
                <w:i/>
                <w:iCs/>
                <w:sz w:val="24"/>
                <w:szCs w:val="24"/>
                <w:u w:val="single"/>
              </w:rPr>
            </w:pPr>
            <w:r>
              <w:rPr>
                <w:rFonts w:hint="eastAsia" w:ascii="仿宋" w:hAnsi="仿宋" w:eastAsia="仿宋" w:cs="仿宋"/>
                <w:b/>
                <w:bCs/>
                <w:i/>
                <w:iCs/>
                <w:sz w:val="24"/>
                <w:szCs w:val="24"/>
                <w:u w:val="single" w:color="000000"/>
              </w:rPr>
              <w:t>有依法缴纳税收和社会保障资金的良好记录（提供参加本次采购活动前近六个月内任一月份依法缴纳税收及社会保险的凭据。依法免缴、迟缴的应提供相应文件证明）；</w:t>
            </w:r>
          </w:p>
        </w:tc>
        <w:tc>
          <w:tcPr>
            <w:tcW w:w="1852" w:type="dxa"/>
            <w:vAlign w:val="center"/>
          </w:tcPr>
          <w:p>
            <w:pPr>
              <w:snapToGrid w:val="0"/>
              <w:spacing w:line="0" w:lineRule="atLeast"/>
              <w:textAlignment w:val="baseline"/>
              <w:rPr>
                <w:rFonts w:ascii="仿宋" w:hAnsi="仿宋" w:eastAsia="仿宋" w:cs="仿宋"/>
                <w:sz w:val="28"/>
                <w:szCs w:val="28"/>
              </w:rPr>
            </w:pPr>
          </w:p>
        </w:tc>
        <w:tc>
          <w:tcPr>
            <w:tcW w:w="1590" w:type="dxa"/>
            <w:vAlign w:val="center"/>
          </w:tcPr>
          <w:p>
            <w:pPr>
              <w:snapToGrid w:val="0"/>
              <w:spacing w:line="0" w:lineRule="atLeast"/>
              <w:textAlignment w:val="baseline"/>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721" w:type="dxa"/>
            <w:vAlign w:val="center"/>
          </w:tcPr>
          <w:p>
            <w:pPr>
              <w:snapToGrid w:val="0"/>
              <w:spacing w:line="0" w:lineRule="atLeast"/>
              <w:jc w:val="center"/>
              <w:textAlignment w:val="baseline"/>
              <w:rPr>
                <w:rFonts w:ascii="仿宋" w:hAnsi="仿宋" w:eastAsia="仿宋" w:cs="仿宋"/>
                <w:sz w:val="28"/>
                <w:szCs w:val="28"/>
              </w:rPr>
            </w:pPr>
            <w:r>
              <w:rPr>
                <w:rFonts w:hint="eastAsia" w:ascii="仿宋" w:hAnsi="仿宋" w:eastAsia="仿宋" w:cs="仿宋"/>
                <w:sz w:val="28"/>
                <w:szCs w:val="28"/>
              </w:rPr>
              <w:t>5</w:t>
            </w:r>
          </w:p>
        </w:tc>
        <w:tc>
          <w:tcPr>
            <w:tcW w:w="5415" w:type="dxa"/>
            <w:vAlign w:val="center"/>
          </w:tcPr>
          <w:p>
            <w:pPr>
              <w:snapToGrid w:val="0"/>
              <w:spacing w:line="0" w:lineRule="atLeast"/>
              <w:textAlignment w:val="baseline"/>
              <w:rPr>
                <w:rFonts w:ascii="仿宋" w:hAnsi="仿宋" w:eastAsia="仿宋" w:cs="仿宋"/>
                <w:b/>
                <w:bCs/>
                <w:i/>
                <w:iCs/>
                <w:sz w:val="24"/>
                <w:szCs w:val="24"/>
                <w:u w:val="single"/>
              </w:rPr>
            </w:pPr>
            <w:r>
              <w:rPr>
                <w:rFonts w:hint="eastAsia" w:ascii="仿宋" w:hAnsi="仿宋" w:eastAsia="仿宋" w:cs="仿宋"/>
                <w:b/>
                <w:bCs/>
                <w:i/>
                <w:iCs/>
                <w:sz w:val="24"/>
                <w:szCs w:val="24"/>
                <w:u w:val="single" w:color="000000"/>
              </w:rPr>
              <w:t>参加本次采购活动前3年内在经营活动中没有重大违法记录（提供参加本次采购活动前3年内在经营活动中没有重大违法记录的书面声明）；</w:t>
            </w:r>
          </w:p>
        </w:tc>
        <w:tc>
          <w:tcPr>
            <w:tcW w:w="1852" w:type="dxa"/>
            <w:vAlign w:val="center"/>
          </w:tcPr>
          <w:p>
            <w:pPr>
              <w:snapToGrid w:val="0"/>
              <w:spacing w:line="0" w:lineRule="atLeast"/>
              <w:textAlignment w:val="baseline"/>
              <w:rPr>
                <w:rFonts w:ascii="仿宋" w:hAnsi="仿宋" w:eastAsia="仿宋" w:cs="仿宋"/>
                <w:sz w:val="28"/>
                <w:szCs w:val="28"/>
              </w:rPr>
            </w:pPr>
          </w:p>
        </w:tc>
        <w:tc>
          <w:tcPr>
            <w:tcW w:w="1590" w:type="dxa"/>
            <w:vAlign w:val="center"/>
          </w:tcPr>
          <w:p>
            <w:pPr>
              <w:snapToGrid w:val="0"/>
              <w:spacing w:line="0" w:lineRule="atLeast"/>
              <w:textAlignment w:val="baseline"/>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21" w:type="dxa"/>
            <w:vAlign w:val="center"/>
          </w:tcPr>
          <w:p>
            <w:pPr>
              <w:snapToGrid w:val="0"/>
              <w:spacing w:line="0" w:lineRule="atLeast"/>
              <w:jc w:val="center"/>
              <w:textAlignment w:val="baseline"/>
              <w:rPr>
                <w:rFonts w:ascii="仿宋" w:hAnsi="仿宋" w:eastAsia="仿宋" w:cs="仿宋"/>
                <w:sz w:val="28"/>
                <w:szCs w:val="28"/>
              </w:rPr>
            </w:pPr>
            <w:r>
              <w:rPr>
                <w:rFonts w:hint="eastAsia" w:ascii="仿宋" w:hAnsi="仿宋" w:eastAsia="仿宋" w:cs="仿宋"/>
                <w:sz w:val="28"/>
                <w:szCs w:val="28"/>
              </w:rPr>
              <w:t>6</w:t>
            </w:r>
          </w:p>
        </w:tc>
        <w:tc>
          <w:tcPr>
            <w:tcW w:w="5415" w:type="dxa"/>
            <w:vAlign w:val="center"/>
          </w:tcPr>
          <w:p>
            <w:pPr>
              <w:snapToGrid w:val="0"/>
              <w:spacing w:line="0" w:lineRule="atLeast"/>
              <w:textAlignment w:val="baseline"/>
              <w:rPr>
                <w:rFonts w:ascii="仿宋" w:hAnsi="仿宋" w:eastAsia="仿宋" w:cs="仿宋"/>
                <w:b/>
                <w:bCs/>
                <w:i/>
                <w:iCs/>
                <w:sz w:val="24"/>
                <w:szCs w:val="24"/>
                <w:u w:val="single"/>
              </w:rPr>
            </w:pPr>
            <w:r>
              <w:rPr>
                <w:rFonts w:hint="eastAsia" w:ascii="仿宋" w:hAnsi="仿宋" w:eastAsia="仿宋" w:cs="仿宋"/>
                <w:b/>
                <w:bCs/>
                <w:i/>
                <w:iCs/>
                <w:sz w:val="24"/>
                <w:szCs w:val="24"/>
                <w:u w:val="single" w:color="000000"/>
              </w:rPr>
              <w:t>磋商函、法人授权委托书；</w:t>
            </w:r>
          </w:p>
        </w:tc>
        <w:tc>
          <w:tcPr>
            <w:tcW w:w="1852" w:type="dxa"/>
            <w:vAlign w:val="center"/>
          </w:tcPr>
          <w:p>
            <w:pPr>
              <w:snapToGrid w:val="0"/>
              <w:spacing w:line="0" w:lineRule="atLeast"/>
              <w:textAlignment w:val="baseline"/>
              <w:rPr>
                <w:rFonts w:ascii="仿宋" w:hAnsi="仿宋" w:eastAsia="仿宋" w:cs="仿宋"/>
                <w:sz w:val="28"/>
                <w:szCs w:val="28"/>
              </w:rPr>
            </w:pPr>
          </w:p>
        </w:tc>
        <w:tc>
          <w:tcPr>
            <w:tcW w:w="1590" w:type="dxa"/>
            <w:vAlign w:val="center"/>
          </w:tcPr>
          <w:p>
            <w:pPr>
              <w:snapToGrid w:val="0"/>
              <w:spacing w:line="0" w:lineRule="atLeast"/>
              <w:textAlignment w:val="baseline"/>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1" w:hRule="atLeast"/>
          <w:jc w:val="center"/>
        </w:trPr>
        <w:tc>
          <w:tcPr>
            <w:tcW w:w="721" w:type="dxa"/>
            <w:vAlign w:val="center"/>
          </w:tcPr>
          <w:p>
            <w:pPr>
              <w:snapToGrid w:val="0"/>
              <w:spacing w:line="0" w:lineRule="atLeast"/>
              <w:jc w:val="center"/>
              <w:textAlignment w:val="baseline"/>
              <w:rPr>
                <w:rFonts w:ascii="仿宋" w:hAnsi="仿宋" w:eastAsia="仿宋" w:cs="仿宋"/>
                <w:sz w:val="28"/>
                <w:szCs w:val="28"/>
              </w:rPr>
            </w:pPr>
            <w:r>
              <w:rPr>
                <w:rFonts w:hint="eastAsia" w:ascii="仿宋" w:hAnsi="仿宋" w:eastAsia="仿宋" w:cs="仿宋"/>
                <w:sz w:val="28"/>
                <w:szCs w:val="28"/>
              </w:rPr>
              <w:t>7</w:t>
            </w:r>
          </w:p>
        </w:tc>
        <w:tc>
          <w:tcPr>
            <w:tcW w:w="5415" w:type="dxa"/>
            <w:vAlign w:val="center"/>
          </w:tcPr>
          <w:p>
            <w:pPr>
              <w:snapToGrid w:val="0"/>
              <w:spacing w:line="0" w:lineRule="atLeast"/>
              <w:textAlignment w:val="baseline"/>
              <w:rPr>
                <w:rFonts w:ascii="仿宋" w:hAnsi="仿宋" w:eastAsia="仿宋" w:cs="仿宋"/>
                <w:b/>
                <w:bCs/>
                <w:i/>
                <w:iCs/>
                <w:sz w:val="24"/>
                <w:szCs w:val="24"/>
                <w:u w:val="single"/>
              </w:rPr>
            </w:pPr>
            <w:r>
              <w:rPr>
                <w:rFonts w:hint="eastAsia" w:ascii="仿宋" w:hAnsi="仿宋" w:eastAsia="仿宋" w:cs="仿宋"/>
                <w:b/>
                <w:bCs/>
                <w:i/>
                <w:iCs/>
                <w:sz w:val="24"/>
                <w:szCs w:val="24"/>
                <w:u w:val="single" w:color="000000"/>
              </w:rPr>
              <w:t>在磋商截止日前未被“信用中国”网站(www.creditchina.gov.cn)或中国政府采购网(www.ccgp.gov.cn) 列入失信被执行人、重大税收违法案件当事人、政府采购严重违法失信行为记录名单的供应商。</w:t>
            </w:r>
          </w:p>
        </w:tc>
        <w:tc>
          <w:tcPr>
            <w:tcW w:w="1852" w:type="dxa"/>
            <w:vAlign w:val="center"/>
          </w:tcPr>
          <w:p>
            <w:pPr>
              <w:snapToGrid w:val="0"/>
              <w:spacing w:line="0" w:lineRule="atLeast"/>
              <w:textAlignment w:val="baseline"/>
              <w:rPr>
                <w:rFonts w:ascii="仿宋" w:hAnsi="仿宋" w:eastAsia="仿宋" w:cs="仿宋"/>
                <w:sz w:val="28"/>
                <w:szCs w:val="28"/>
              </w:rPr>
            </w:pPr>
          </w:p>
        </w:tc>
        <w:tc>
          <w:tcPr>
            <w:tcW w:w="1590" w:type="dxa"/>
            <w:vAlign w:val="center"/>
          </w:tcPr>
          <w:p>
            <w:pPr>
              <w:snapToGrid w:val="0"/>
              <w:spacing w:line="0" w:lineRule="atLeast"/>
              <w:textAlignment w:val="baseline"/>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721" w:type="dxa"/>
            <w:vAlign w:val="center"/>
          </w:tcPr>
          <w:p>
            <w:pPr>
              <w:snapToGrid w:val="0"/>
              <w:spacing w:line="0" w:lineRule="atLeast"/>
              <w:jc w:val="center"/>
              <w:textAlignment w:val="baseline"/>
              <w:rPr>
                <w:rFonts w:ascii="仿宋" w:hAnsi="仿宋" w:eastAsia="仿宋" w:cs="仿宋"/>
                <w:sz w:val="20"/>
                <w:highlight w:val="yellow"/>
              </w:rPr>
            </w:pPr>
            <w:r>
              <w:rPr>
                <w:rFonts w:hint="eastAsia" w:ascii="仿宋" w:hAnsi="仿宋" w:eastAsia="仿宋" w:cs="仿宋"/>
                <w:sz w:val="28"/>
                <w:szCs w:val="28"/>
              </w:rPr>
              <w:t>8</w:t>
            </w:r>
          </w:p>
        </w:tc>
        <w:tc>
          <w:tcPr>
            <w:tcW w:w="5415" w:type="dxa"/>
            <w:vAlign w:val="center"/>
          </w:tcPr>
          <w:p>
            <w:pPr>
              <w:snapToGrid w:val="0"/>
              <w:spacing w:line="0" w:lineRule="atLeast"/>
              <w:textAlignment w:val="baseline"/>
              <w:rPr>
                <w:rFonts w:ascii="仿宋" w:hAnsi="仿宋" w:eastAsia="仿宋" w:cs="仿宋"/>
                <w:b/>
                <w:bCs/>
                <w:i/>
                <w:iCs/>
                <w:sz w:val="24"/>
                <w:szCs w:val="24"/>
                <w:highlight w:val="yellow"/>
                <w:u w:val="single"/>
              </w:rPr>
            </w:pPr>
            <w:r>
              <w:rPr>
                <w:rFonts w:hint="eastAsia" w:ascii="仿宋" w:hAnsi="仿宋" w:eastAsia="仿宋" w:cs="仿宋"/>
                <w:sz w:val="20"/>
                <w:u w:val="single"/>
              </w:rPr>
              <w:t>…………</w:t>
            </w:r>
          </w:p>
        </w:tc>
        <w:tc>
          <w:tcPr>
            <w:tcW w:w="1852" w:type="dxa"/>
            <w:vAlign w:val="center"/>
          </w:tcPr>
          <w:p>
            <w:pPr>
              <w:snapToGrid w:val="0"/>
              <w:spacing w:line="0" w:lineRule="atLeast"/>
              <w:textAlignment w:val="baseline"/>
              <w:rPr>
                <w:rFonts w:ascii="仿宋" w:hAnsi="仿宋" w:eastAsia="仿宋" w:cs="仿宋"/>
                <w:sz w:val="20"/>
              </w:rPr>
            </w:pPr>
          </w:p>
        </w:tc>
        <w:tc>
          <w:tcPr>
            <w:tcW w:w="1590" w:type="dxa"/>
            <w:vAlign w:val="center"/>
          </w:tcPr>
          <w:p>
            <w:pPr>
              <w:snapToGrid w:val="0"/>
              <w:spacing w:line="0" w:lineRule="atLeast"/>
              <w:textAlignment w:val="baseline"/>
              <w:rPr>
                <w:rFonts w:ascii="仿宋" w:hAnsi="仿宋" w:eastAsia="仿宋" w:cs="仿宋"/>
                <w:sz w:val="20"/>
              </w:rPr>
            </w:pPr>
          </w:p>
        </w:tc>
      </w:tr>
    </w:tbl>
    <w:p>
      <w:pPr>
        <w:spacing w:line="360" w:lineRule="auto"/>
        <w:textAlignment w:val="baseline"/>
        <w:rPr>
          <w:rFonts w:ascii="仿宋" w:hAnsi="仿宋" w:eastAsia="仿宋" w:cs="仿宋"/>
          <w:sz w:val="24"/>
          <w:szCs w:val="24"/>
        </w:rPr>
      </w:pPr>
      <w:r>
        <w:rPr>
          <w:rFonts w:hint="eastAsia" w:ascii="仿宋" w:hAnsi="仿宋" w:eastAsia="仿宋" w:cs="仿宋"/>
          <w:sz w:val="24"/>
          <w:szCs w:val="24"/>
        </w:rPr>
        <w:t>说明：上述所列资格证明文件为必须提供内容，未提供或未提供有效材料的，将不能通过符合性审查。</w:t>
      </w:r>
    </w:p>
    <w:p>
      <w:pPr>
        <w:spacing w:line="360" w:lineRule="auto"/>
        <w:ind w:firstLine="480" w:firstLineChars="200"/>
        <w:textAlignment w:val="baseline"/>
        <w:rPr>
          <w:rFonts w:ascii="仿宋" w:hAnsi="仿宋" w:eastAsia="仿宋" w:cs="仿宋"/>
          <w:sz w:val="24"/>
          <w:szCs w:val="24"/>
        </w:rPr>
      </w:pPr>
      <w:r>
        <w:rPr>
          <w:rFonts w:hint="eastAsia" w:ascii="仿宋" w:hAnsi="仿宋" w:eastAsia="仿宋" w:cs="仿宋"/>
          <w:sz w:val="24"/>
          <w:szCs w:val="24"/>
        </w:rPr>
        <w:t xml:space="preserve">供应商全称（公章）：                                 </w:t>
      </w:r>
    </w:p>
    <w:p>
      <w:pPr>
        <w:spacing w:line="360" w:lineRule="auto"/>
        <w:ind w:firstLine="480" w:firstLineChars="200"/>
        <w:textAlignment w:val="baseline"/>
        <w:rPr>
          <w:rFonts w:ascii="仿宋" w:hAnsi="仿宋" w:eastAsia="仿宋" w:cs="仿宋"/>
          <w:sz w:val="20"/>
        </w:rPr>
      </w:pPr>
      <w:r>
        <w:rPr>
          <w:rFonts w:hint="eastAsia" w:ascii="仿宋" w:hAnsi="仿宋" w:eastAsia="仿宋" w:cs="仿宋"/>
          <w:sz w:val="24"/>
          <w:szCs w:val="24"/>
        </w:rPr>
        <w:t>法定代表人或授权代表签字：</w:t>
      </w:r>
      <w:r>
        <w:rPr>
          <w:rFonts w:hint="eastAsia" w:ascii="仿宋" w:hAnsi="仿宋" w:eastAsia="仿宋" w:cs="仿宋"/>
        </w:rPr>
        <w:br w:type="page"/>
      </w:r>
    </w:p>
    <w:p>
      <w:pPr>
        <w:pStyle w:val="41"/>
        <w:spacing w:before="156" w:after="156"/>
        <w:ind w:firstLine="562"/>
        <w:jc w:val="center"/>
        <w:textAlignment w:val="baseline"/>
        <w:rPr>
          <w:rFonts w:ascii="仿宋" w:hAnsi="仿宋" w:eastAsia="仿宋" w:cs="仿宋"/>
          <w:b/>
          <w:bCs/>
          <w:sz w:val="28"/>
          <w:szCs w:val="28"/>
        </w:rPr>
      </w:pPr>
      <w:bookmarkStart w:id="138" w:name="_Toc25617"/>
      <w:bookmarkStart w:id="139" w:name="_Toc7302"/>
    </w:p>
    <w:p>
      <w:pPr>
        <w:pStyle w:val="41"/>
        <w:spacing w:before="156" w:after="156"/>
        <w:ind w:firstLine="562"/>
        <w:jc w:val="center"/>
        <w:textAlignment w:val="baseline"/>
        <w:rPr>
          <w:rFonts w:ascii="仿宋" w:hAnsi="仿宋" w:eastAsia="仿宋" w:cs="仿宋"/>
          <w:b/>
          <w:bCs/>
          <w:sz w:val="28"/>
          <w:szCs w:val="28"/>
        </w:rPr>
      </w:pPr>
      <w:r>
        <w:rPr>
          <w:rFonts w:hint="eastAsia" w:ascii="仿宋" w:hAnsi="仿宋" w:eastAsia="仿宋" w:cs="仿宋"/>
          <w:b/>
          <w:bCs/>
          <w:sz w:val="28"/>
          <w:szCs w:val="28"/>
        </w:rPr>
        <w:t>评分索引表</w:t>
      </w:r>
      <w:bookmarkEnd w:id="138"/>
      <w:bookmarkEnd w:id="139"/>
    </w:p>
    <w:tbl>
      <w:tblPr>
        <w:tblStyle w:val="31"/>
        <w:tblW w:w="8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1"/>
        <w:gridCol w:w="3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tcPr>
          <w:p>
            <w:pPr>
              <w:pStyle w:val="44"/>
              <w:shd w:val="clear" w:color="auto" w:fill="FFFFFF"/>
              <w:spacing w:line="360" w:lineRule="auto"/>
              <w:ind w:firstLine="422"/>
              <w:jc w:val="center"/>
              <w:textAlignment w:val="baseline"/>
              <w:rPr>
                <w:rFonts w:ascii="仿宋" w:hAnsi="仿宋" w:eastAsia="仿宋" w:cs="仿宋"/>
                <w:b/>
                <w:bCs/>
              </w:rPr>
            </w:pPr>
            <w:r>
              <w:rPr>
                <w:rFonts w:hint="eastAsia" w:ascii="仿宋" w:hAnsi="仿宋" w:eastAsia="仿宋" w:cs="仿宋"/>
                <w:b/>
                <w:bCs/>
              </w:rPr>
              <w:t>评分项目</w:t>
            </w:r>
          </w:p>
        </w:tc>
        <w:tc>
          <w:tcPr>
            <w:tcW w:w="3269" w:type="dxa"/>
          </w:tcPr>
          <w:p>
            <w:pPr>
              <w:spacing w:line="360" w:lineRule="auto"/>
              <w:jc w:val="center"/>
              <w:textAlignment w:val="baseline"/>
              <w:rPr>
                <w:rFonts w:ascii="仿宋" w:hAnsi="仿宋" w:eastAsia="仿宋" w:cs="仿宋"/>
                <w:b/>
                <w:bCs/>
                <w:sz w:val="20"/>
              </w:rPr>
            </w:pPr>
            <w:r>
              <w:rPr>
                <w:rFonts w:hint="eastAsia" w:ascii="仿宋" w:hAnsi="仿宋" w:eastAsia="仿宋" w:cs="仿宋"/>
                <w:b/>
                <w:bCs/>
                <w:kern w:val="0"/>
              </w:rPr>
              <w:t>在磋商文件中的页码位置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191" w:type="dxa"/>
          </w:tcPr>
          <w:p>
            <w:pPr>
              <w:pStyle w:val="44"/>
              <w:shd w:val="clear" w:color="auto" w:fill="FFFFFF"/>
              <w:spacing w:line="360" w:lineRule="auto"/>
              <w:ind w:firstLine="422"/>
              <w:textAlignment w:val="baseline"/>
              <w:rPr>
                <w:rFonts w:ascii="仿宋" w:hAnsi="仿宋" w:eastAsia="仿宋" w:cs="仿宋"/>
                <w:b/>
                <w:bCs/>
              </w:rPr>
            </w:pPr>
          </w:p>
        </w:tc>
        <w:tc>
          <w:tcPr>
            <w:tcW w:w="3269" w:type="dxa"/>
          </w:tcPr>
          <w:p>
            <w:pPr>
              <w:spacing w:line="360" w:lineRule="auto"/>
              <w:textAlignment w:val="baseline"/>
              <w:rPr>
                <w:rFonts w:ascii="仿宋" w:hAnsi="仿宋" w:eastAsia="仿宋" w:cs="仿宋"/>
                <w:b/>
                <w:bCs/>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tcPr>
          <w:p>
            <w:pPr>
              <w:pStyle w:val="44"/>
              <w:shd w:val="clear" w:color="auto" w:fill="FFFFFF"/>
              <w:spacing w:line="360" w:lineRule="auto"/>
              <w:textAlignment w:val="baseline"/>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tcPr>
          <w:p>
            <w:pPr>
              <w:pStyle w:val="44"/>
              <w:shd w:val="clear" w:color="auto" w:fill="FFFFFF"/>
              <w:spacing w:line="360" w:lineRule="auto"/>
              <w:textAlignment w:val="baseline"/>
              <w:rPr>
                <w:rFonts w:ascii="仿宋" w:hAnsi="仿宋" w:eastAsia="仿宋" w:cs="仿宋"/>
              </w:rPr>
            </w:pPr>
          </w:p>
        </w:tc>
        <w:tc>
          <w:tcPr>
            <w:tcW w:w="3269" w:type="dxa"/>
          </w:tcPr>
          <w:p>
            <w:pPr>
              <w:spacing w:line="360" w:lineRule="auto"/>
              <w:textAlignment w:val="baseline"/>
              <w:rPr>
                <w:rFonts w:ascii="仿宋" w:hAnsi="仿宋" w:eastAsia="仿宋" w:cs="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tcPr>
          <w:p>
            <w:pPr>
              <w:pStyle w:val="44"/>
              <w:shd w:val="clear" w:color="auto" w:fill="FFFFFF"/>
              <w:spacing w:line="360" w:lineRule="auto"/>
              <w:textAlignment w:val="baseline"/>
              <w:rPr>
                <w:rFonts w:ascii="仿宋" w:hAnsi="仿宋" w:eastAsia="仿宋" w:cs="仿宋"/>
              </w:rPr>
            </w:pPr>
          </w:p>
        </w:tc>
        <w:tc>
          <w:tcPr>
            <w:tcW w:w="3269" w:type="dxa"/>
          </w:tcPr>
          <w:p>
            <w:pPr>
              <w:spacing w:line="360" w:lineRule="auto"/>
              <w:textAlignment w:val="baseline"/>
              <w:rPr>
                <w:rFonts w:ascii="仿宋" w:hAnsi="仿宋" w:eastAsia="仿宋" w:cs="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tcPr>
          <w:p>
            <w:pPr>
              <w:pStyle w:val="44"/>
              <w:shd w:val="clear" w:color="auto" w:fill="FFFFFF"/>
              <w:spacing w:line="360" w:lineRule="auto"/>
              <w:textAlignment w:val="baseline"/>
              <w:rPr>
                <w:rFonts w:ascii="仿宋" w:hAnsi="仿宋" w:eastAsia="仿宋" w:cs="仿宋"/>
              </w:rPr>
            </w:pPr>
          </w:p>
        </w:tc>
        <w:tc>
          <w:tcPr>
            <w:tcW w:w="3269" w:type="dxa"/>
          </w:tcPr>
          <w:p>
            <w:pPr>
              <w:spacing w:line="360" w:lineRule="auto"/>
              <w:textAlignment w:val="baseline"/>
              <w:rPr>
                <w:rFonts w:ascii="仿宋" w:hAnsi="仿宋" w:eastAsia="仿宋" w:cs="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tcPr>
          <w:p>
            <w:pPr>
              <w:pStyle w:val="44"/>
              <w:shd w:val="clear" w:color="auto" w:fill="FFFFFF"/>
              <w:spacing w:line="360" w:lineRule="auto"/>
              <w:textAlignment w:val="baseline"/>
              <w:rPr>
                <w:rFonts w:ascii="仿宋" w:hAnsi="仿宋" w:eastAsia="仿宋" w:cs="仿宋"/>
              </w:rPr>
            </w:pPr>
          </w:p>
        </w:tc>
        <w:tc>
          <w:tcPr>
            <w:tcW w:w="3269" w:type="dxa"/>
          </w:tcPr>
          <w:p>
            <w:pPr>
              <w:spacing w:line="360" w:lineRule="auto"/>
              <w:textAlignment w:val="baseline"/>
              <w:rPr>
                <w:rFonts w:ascii="仿宋" w:hAnsi="仿宋" w:eastAsia="仿宋" w:cs="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tcPr>
          <w:p>
            <w:pPr>
              <w:pStyle w:val="44"/>
              <w:shd w:val="clear" w:color="auto" w:fill="FFFFFF"/>
              <w:spacing w:line="360" w:lineRule="auto"/>
              <w:textAlignment w:val="baseline"/>
              <w:rPr>
                <w:rFonts w:ascii="仿宋" w:hAnsi="仿宋" w:eastAsia="仿宋" w:cs="仿宋"/>
              </w:rPr>
            </w:pPr>
          </w:p>
        </w:tc>
        <w:tc>
          <w:tcPr>
            <w:tcW w:w="3269" w:type="dxa"/>
          </w:tcPr>
          <w:p>
            <w:pPr>
              <w:spacing w:line="360" w:lineRule="auto"/>
              <w:textAlignment w:val="baseline"/>
              <w:rPr>
                <w:rFonts w:ascii="仿宋" w:hAnsi="仿宋" w:eastAsia="仿宋" w:cs="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460" w:type="dxa"/>
            <w:gridSpan w:val="2"/>
          </w:tcPr>
          <w:p>
            <w:pPr>
              <w:pStyle w:val="44"/>
              <w:shd w:val="clear" w:color="auto" w:fill="FFFFFF"/>
              <w:spacing w:line="360" w:lineRule="auto"/>
              <w:textAlignment w:val="baseline"/>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5191" w:type="dxa"/>
          </w:tcPr>
          <w:p>
            <w:pPr>
              <w:pStyle w:val="44"/>
              <w:shd w:val="clear" w:color="auto" w:fill="FFFFFF"/>
              <w:spacing w:line="360" w:lineRule="auto"/>
              <w:textAlignment w:val="baseline"/>
              <w:rPr>
                <w:rFonts w:ascii="仿宋" w:hAnsi="仿宋" w:eastAsia="仿宋" w:cs="仿宋"/>
              </w:rPr>
            </w:pPr>
          </w:p>
        </w:tc>
        <w:tc>
          <w:tcPr>
            <w:tcW w:w="3269" w:type="dxa"/>
          </w:tcPr>
          <w:p>
            <w:pPr>
              <w:spacing w:line="360" w:lineRule="auto"/>
              <w:textAlignment w:val="baseline"/>
              <w:rPr>
                <w:rFonts w:ascii="仿宋" w:hAnsi="仿宋" w:eastAsia="仿宋" w:cs="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tcPr>
          <w:p>
            <w:pPr>
              <w:pStyle w:val="44"/>
              <w:shd w:val="clear" w:color="auto" w:fill="FFFFFF"/>
              <w:spacing w:line="360" w:lineRule="auto"/>
              <w:textAlignment w:val="baseline"/>
              <w:rPr>
                <w:rFonts w:ascii="仿宋" w:hAnsi="仿宋" w:eastAsia="仿宋" w:cs="仿宋"/>
              </w:rPr>
            </w:pPr>
          </w:p>
        </w:tc>
        <w:tc>
          <w:tcPr>
            <w:tcW w:w="3269" w:type="dxa"/>
          </w:tcPr>
          <w:p>
            <w:pPr>
              <w:spacing w:line="360" w:lineRule="auto"/>
              <w:textAlignment w:val="baseline"/>
              <w:rPr>
                <w:rFonts w:ascii="仿宋" w:hAnsi="仿宋" w:eastAsia="仿宋" w:cs="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tcPr>
          <w:p>
            <w:pPr>
              <w:pStyle w:val="44"/>
              <w:shd w:val="clear" w:color="auto" w:fill="FFFFFF"/>
              <w:spacing w:line="360" w:lineRule="auto"/>
              <w:textAlignment w:val="baseline"/>
              <w:rPr>
                <w:rFonts w:ascii="仿宋" w:hAnsi="仿宋" w:eastAsia="仿宋" w:cs="仿宋"/>
              </w:rPr>
            </w:pPr>
          </w:p>
        </w:tc>
        <w:tc>
          <w:tcPr>
            <w:tcW w:w="3269" w:type="dxa"/>
          </w:tcPr>
          <w:p>
            <w:pPr>
              <w:spacing w:line="360" w:lineRule="auto"/>
              <w:textAlignment w:val="baseline"/>
              <w:rPr>
                <w:rFonts w:ascii="仿宋" w:hAnsi="仿宋" w:eastAsia="仿宋" w:cs="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tcPr>
          <w:p>
            <w:pPr>
              <w:pStyle w:val="44"/>
              <w:shd w:val="clear" w:color="auto" w:fill="FFFFFF"/>
              <w:spacing w:line="360" w:lineRule="auto"/>
              <w:textAlignment w:val="baseline"/>
              <w:rPr>
                <w:rFonts w:ascii="仿宋" w:hAnsi="仿宋" w:eastAsia="仿宋" w:cs="仿宋"/>
              </w:rPr>
            </w:pPr>
          </w:p>
        </w:tc>
        <w:tc>
          <w:tcPr>
            <w:tcW w:w="3269" w:type="dxa"/>
          </w:tcPr>
          <w:p>
            <w:pPr>
              <w:spacing w:line="360" w:lineRule="auto"/>
              <w:textAlignment w:val="baseline"/>
              <w:rPr>
                <w:rFonts w:ascii="仿宋" w:hAnsi="仿宋" w:eastAsia="仿宋" w:cs="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tcPr>
          <w:p>
            <w:pPr>
              <w:pStyle w:val="44"/>
              <w:shd w:val="clear" w:color="auto" w:fill="FFFFFF"/>
              <w:spacing w:line="360" w:lineRule="auto"/>
              <w:textAlignment w:val="baseline"/>
              <w:rPr>
                <w:rFonts w:ascii="仿宋" w:hAnsi="仿宋" w:eastAsia="仿宋" w:cs="仿宋"/>
              </w:rPr>
            </w:pPr>
          </w:p>
        </w:tc>
        <w:tc>
          <w:tcPr>
            <w:tcW w:w="3269" w:type="dxa"/>
          </w:tcPr>
          <w:p>
            <w:pPr>
              <w:spacing w:line="360" w:lineRule="auto"/>
              <w:textAlignment w:val="baseline"/>
              <w:rPr>
                <w:rFonts w:ascii="仿宋" w:hAnsi="仿宋" w:eastAsia="仿宋" w:cs="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8460" w:type="dxa"/>
            <w:gridSpan w:val="2"/>
          </w:tcPr>
          <w:p>
            <w:pPr>
              <w:pStyle w:val="44"/>
              <w:shd w:val="clear" w:color="auto" w:fill="FFFFFF"/>
              <w:spacing w:line="360" w:lineRule="auto"/>
              <w:ind w:firstLine="422"/>
              <w:textAlignment w:val="baseline"/>
              <w:rPr>
                <w:rFonts w:ascii="仿宋" w:hAnsi="仿宋" w:eastAsia="仿宋" w:cs="仿宋"/>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tcPr>
          <w:p>
            <w:pPr>
              <w:pStyle w:val="44"/>
              <w:shd w:val="clear" w:color="auto" w:fill="FFFFFF"/>
              <w:spacing w:line="360" w:lineRule="auto"/>
              <w:ind w:firstLine="422"/>
              <w:textAlignment w:val="baseline"/>
              <w:rPr>
                <w:rFonts w:ascii="仿宋" w:hAnsi="仿宋" w:eastAsia="仿宋" w:cs="仿宋"/>
                <w:b/>
                <w:bCs/>
              </w:rPr>
            </w:pPr>
          </w:p>
        </w:tc>
        <w:tc>
          <w:tcPr>
            <w:tcW w:w="3269" w:type="dxa"/>
          </w:tcPr>
          <w:p>
            <w:pPr>
              <w:spacing w:line="360" w:lineRule="auto"/>
              <w:textAlignment w:val="baseline"/>
              <w:rPr>
                <w:rFonts w:ascii="仿宋" w:hAnsi="仿宋" w:eastAsia="仿宋" w:cs="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tcPr>
          <w:p>
            <w:pPr>
              <w:pStyle w:val="44"/>
              <w:shd w:val="clear" w:color="auto" w:fill="FFFFFF"/>
              <w:spacing w:line="360" w:lineRule="auto"/>
              <w:textAlignment w:val="baseline"/>
              <w:rPr>
                <w:rFonts w:ascii="仿宋" w:hAnsi="仿宋" w:eastAsia="仿宋" w:cs="仿宋"/>
              </w:rPr>
            </w:pPr>
          </w:p>
        </w:tc>
        <w:tc>
          <w:tcPr>
            <w:tcW w:w="3269" w:type="dxa"/>
          </w:tcPr>
          <w:p>
            <w:pPr>
              <w:spacing w:line="360" w:lineRule="auto"/>
              <w:textAlignment w:val="baseline"/>
              <w:rPr>
                <w:rFonts w:ascii="仿宋" w:hAnsi="仿宋" w:eastAsia="仿宋" w:cs="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tcPr>
          <w:p>
            <w:pPr>
              <w:pStyle w:val="44"/>
              <w:shd w:val="clear" w:color="auto" w:fill="FFFFFF"/>
              <w:spacing w:line="360" w:lineRule="auto"/>
              <w:ind w:firstLine="422"/>
              <w:textAlignment w:val="baseline"/>
              <w:rPr>
                <w:rFonts w:ascii="仿宋" w:hAnsi="仿宋" w:eastAsia="仿宋" w:cs="仿宋"/>
                <w:b/>
                <w:bCs/>
              </w:rPr>
            </w:pPr>
          </w:p>
        </w:tc>
        <w:tc>
          <w:tcPr>
            <w:tcW w:w="3269" w:type="dxa"/>
          </w:tcPr>
          <w:p>
            <w:pPr>
              <w:spacing w:line="360" w:lineRule="auto"/>
              <w:textAlignment w:val="baseline"/>
              <w:rPr>
                <w:rFonts w:ascii="仿宋" w:hAnsi="仿宋" w:eastAsia="仿宋" w:cs="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tcPr>
          <w:p>
            <w:pPr>
              <w:pStyle w:val="44"/>
              <w:shd w:val="clear" w:color="auto" w:fill="FFFFFF"/>
              <w:spacing w:line="360" w:lineRule="auto"/>
              <w:ind w:firstLine="422"/>
              <w:textAlignment w:val="baseline"/>
              <w:rPr>
                <w:rFonts w:ascii="仿宋" w:hAnsi="仿宋" w:eastAsia="仿宋" w:cs="仿宋"/>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5191" w:type="dxa"/>
          </w:tcPr>
          <w:p>
            <w:pPr>
              <w:pStyle w:val="44"/>
              <w:shd w:val="clear" w:color="auto" w:fill="FFFFFF"/>
              <w:spacing w:line="360" w:lineRule="auto"/>
              <w:textAlignment w:val="baseline"/>
              <w:rPr>
                <w:rFonts w:ascii="仿宋" w:hAnsi="仿宋" w:eastAsia="仿宋" w:cs="仿宋"/>
              </w:rPr>
            </w:pPr>
          </w:p>
        </w:tc>
        <w:tc>
          <w:tcPr>
            <w:tcW w:w="3269" w:type="dxa"/>
          </w:tcPr>
          <w:p>
            <w:pPr>
              <w:spacing w:line="360" w:lineRule="auto"/>
              <w:textAlignment w:val="baseline"/>
              <w:rPr>
                <w:rFonts w:ascii="仿宋" w:hAnsi="仿宋" w:eastAsia="仿宋" w:cs="仿宋"/>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5191" w:type="dxa"/>
          </w:tcPr>
          <w:p>
            <w:pPr>
              <w:pStyle w:val="44"/>
              <w:shd w:val="clear" w:color="auto" w:fill="FFFFFF"/>
              <w:spacing w:line="360" w:lineRule="auto"/>
              <w:textAlignment w:val="baseline"/>
              <w:rPr>
                <w:rFonts w:ascii="仿宋" w:hAnsi="仿宋" w:eastAsia="仿宋" w:cs="仿宋"/>
              </w:rPr>
            </w:pPr>
          </w:p>
        </w:tc>
        <w:tc>
          <w:tcPr>
            <w:tcW w:w="3269" w:type="dxa"/>
          </w:tcPr>
          <w:p>
            <w:pPr>
              <w:spacing w:line="360" w:lineRule="auto"/>
              <w:textAlignment w:val="baseline"/>
              <w:rPr>
                <w:rFonts w:ascii="仿宋" w:hAnsi="仿宋" w:eastAsia="仿宋" w:cs="仿宋"/>
                <w:sz w:val="20"/>
              </w:rPr>
            </w:pPr>
          </w:p>
        </w:tc>
      </w:tr>
    </w:tbl>
    <w:p>
      <w:pPr>
        <w:spacing w:line="360" w:lineRule="auto"/>
        <w:textAlignment w:val="baseline"/>
        <w:rPr>
          <w:rFonts w:ascii="仿宋" w:hAnsi="仿宋" w:eastAsia="仿宋" w:cs="仿宋"/>
          <w:sz w:val="20"/>
        </w:rPr>
      </w:pPr>
    </w:p>
    <w:p>
      <w:pPr>
        <w:spacing w:line="360" w:lineRule="auto"/>
        <w:jc w:val="center"/>
        <w:textAlignment w:val="baseline"/>
        <w:rPr>
          <w:rFonts w:ascii="仿宋" w:hAnsi="仿宋" w:eastAsia="仿宋" w:cs="仿宋"/>
          <w:b/>
          <w:bCs/>
          <w:kern w:val="0"/>
          <w:sz w:val="28"/>
          <w:szCs w:val="28"/>
        </w:rPr>
      </w:pPr>
      <w:r>
        <w:rPr>
          <w:rFonts w:hint="eastAsia" w:ascii="仿宋" w:hAnsi="仿宋" w:eastAsia="仿宋" w:cs="仿宋"/>
        </w:rPr>
        <w:br w:type="page"/>
      </w:r>
    </w:p>
    <w:p>
      <w:pPr>
        <w:spacing w:line="360" w:lineRule="auto"/>
        <w:jc w:val="center"/>
        <w:textAlignment w:val="baseline"/>
        <w:rPr>
          <w:rFonts w:ascii="仿宋" w:hAnsi="仿宋" w:eastAsia="仿宋" w:cs="仿宋"/>
          <w:b/>
          <w:sz w:val="28"/>
        </w:rPr>
      </w:pPr>
      <w:bookmarkStart w:id="140" w:name="_Toc5449"/>
      <w:bookmarkStart w:id="141" w:name="_Toc11631"/>
      <w:r>
        <w:rPr>
          <w:rFonts w:hint="eastAsia" w:ascii="仿宋" w:hAnsi="仿宋" w:eastAsia="仿宋" w:cs="仿宋"/>
          <w:b/>
          <w:bCs/>
          <w:kern w:val="0"/>
          <w:sz w:val="28"/>
          <w:szCs w:val="28"/>
        </w:rPr>
        <w:t>主要文件目录</w:t>
      </w:r>
      <w:bookmarkEnd w:id="140"/>
      <w:bookmarkEnd w:id="141"/>
    </w:p>
    <w:p>
      <w:pPr>
        <w:spacing w:line="360" w:lineRule="auto"/>
        <w:ind w:firstLine="120" w:firstLineChars="50"/>
        <w:textAlignment w:val="baseline"/>
        <w:rPr>
          <w:rFonts w:ascii="仿宋" w:hAnsi="仿宋" w:eastAsia="仿宋" w:cs="仿宋"/>
          <w:color w:val="000000"/>
          <w:sz w:val="24"/>
          <w:szCs w:val="24"/>
        </w:rPr>
      </w:pPr>
      <w:r>
        <w:rPr>
          <w:rFonts w:hint="eastAsia" w:ascii="仿宋" w:hAnsi="仿宋" w:eastAsia="仿宋" w:cs="仿宋"/>
          <w:color w:val="000000"/>
          <w:sz w:val="24"/>
          <w:szCs w:val="24"/>
        </w:rPr>
        <w:t>请供应商编制目录及页码，否则可能将影响对响应文件的评价。</w:t>
      </w:r>
    </w:p>
    <w:p>
      <w:pPr>
        <w:spacing w:line="360" w:lineRule="auto"/>
        <w:ind w:firstLine="120" w:firstLineChars="50"/>
        <w:textAlignment w:val="baseline"/>
        <w:rPr>
          <w:rFonts w:ascii="仿宋" w:hAnsi="仿宋" w:eastAsia="仿宋" w:cs="仿宋"/>
          <w:color w:val="000000"/>
          <w:sz w:val="24"/>
          <w:szCs w:val="24"/>
        </w:rPr>
      </w:pPr>
    </w:p>
    <w:p>
      <w:pPr>
        <w:spacing w:line="360" w:lineRule="auto"/>
        <w:textAlignment w:val="baseline"/>
        <w:rPr>
          <w:rFonts w:ascii="仿宋" w:hAnsi="仿宋" w:eastAsia="仿宋" w:cs="仿宋"/>
          <w:sz w:val="20"/>
        </w:rPr>
      </w:pPr>
    </w:p>
    <w:p>
      <w:pPr>
        <w:spacing w:line="360" w:lineRule="auto"/>
        <w:jc w:val="center"/>
        <w:textAlignment w:val="baseline"/>
        <w:rPr>
          <w:rFonts w:ascii="仿宋" w:hAnsi="仿宋" w:eastAsia="仿宋" w:cs="仿宋"/>
          <w:sz w:val="20"/>
        </w:rPr>
      </w:pPr>
      <w:r>
        <w:rPr>
          <w:rFonts w:hint="eastAsia" w:ascii="仿宋" w:hAnsi="仿宋" w:eastAsia="仿宋" w:cs="仿宋"/>
        </w:rPr>
        <w:br w:type="page"/>
      </w:r>
    </w:p>
    <w:p>
      <w:pPr>
        <w:spacing w:line="360" w:lineRule="auto"/>
        <w:jc w:val="center"/>
        <w:textAlignment w:val="baseline"/>
        <w:rPr>
          <w:rFonts w:ascii="仿宋" w:hAnsi="仿宋" w:eastAsia="仿宋" w:cs="仿宋"/>
          <w:sz w:val="20"/>
        </w:rPr>
      </w:pPr>
    </w:p>
    <w:p>
      <w:pPr>
        <w:pStyle w:val="45"/>
        <w:numPr>
          <w:ilvl w:val="0"/>
          <w:numId w:val="0"/>
        </w:numPr>
        <w:spacing w:line="360" w:lineRule="auto"/>
        <w:jc w:val="center"/>
        <w:textAlignment w:val="baseline"/>
        <w:rPr>
          <w:rFonts w:ascii="仿宋" w:hAnsi="仿宋" w:eastAsia="仿宋" w:cs="仿宋"/>
          <w:color w:val="000000"/>
          <w:sz w:val="32"/>
          <w:szCs w:val="32"/>
        </w:rPr>
      </w:pPr>
      <w:bookmarkStart w:id="142" w:name="_Toc13734"/>
      <w:bookmarkStart w:id="143" w:name="_Toc25957"/>
      <w:bookmarkStart w:id="144" w:name="_Toc13187"/>
      <w:bookmarkStart w:id="145" w:name="_Toc23635"/>
      <w:bookmarkStart w:id="146" w:name="_Toc24701"/>
      <w:bookmarkStart w:id="147" w:name="_Toc25170485"/>
      <w:r>
        <w:rPr>
          <w:rFonts w:hint="eastAsia" w:ascii="仿宋" w:hAnsi="仿宋" w:eastAsia="仿宋" w:cs="仿宋"/>
          <w:color w:val="000000"/>
          <w:sz w:val="32"/>
          <w:szCs w:val="32"/>
        </w:rPr>
        <w:t>一、磋商函</w:t>
      </w:r>
      <w:bookmarkEnd w:id="142"/>
      <w:bookmarkEnd w:id="143"/>
      <w:bookmarkEnd w:id="144"/>
      <w:bookmarkEnd w:id="145"/>
      <w:bookmarkEnd w:id="146"/>
      <w:bookmarkEnd w:id="147"/>
    </w:p>
    <w:p>
      <w:pPr>
        <w:widowControl/>
        <w:snapToGrid w:val="0"/>
        <w:spacing w:line="360" w:lineRule="auto"/>
        <w:textAlignment w:val="baseline"/>
        <w:rPr>
          <w:rFonts w:ascii="仿宋" w:hAnsi="仿宋" w:eastAsia="仿宋" w:cs="仿宋"/>
          <w:color w:val="000000"/>
          <w:sz w:val="24"/>
          <w:szCs w:val="24"/>
        </w:rPr>
      </w:pPr>
    </w:p>
    <w:p>
      <w:pPr>
        <w:widowControl/>
        <w:snapToGrid w:val="0"/>
        <w:spacing w:line="360" w:lineRule="auto"/>
        <w:textAlignment w:val="baseline"/>
        <w:rPr>
          <w:rFonts w:ascii="仿宋" w:hAnsi="仿宋" w:eastAsia="仿宋" w:cs="仿宋"/>
          <w:sz w:val="24"/>
          <w:szCs w:val="24"/>
        </w:rPr>
      </w:pPr>
      <w:r>
        <w:rPr>
          <w:rFonts w:hint="eastAsia" w:ascii="仿宋" w:hAnsi="仿宋" w:eastAsia="仿宋" w:cs="仿宋"/>
          <w:color w:val="000000"/>
          <w:sz w:val="24"/>
          <w:szCs w:val="24"/>
        </w:rPr>
        <w:t>南京达琛鑫工程咨询有限公司</w:t>
      </w:r>
      <w:r>
        <w:rPr>
          <w:rFonts w:hint="eastAsia" w:ascii="仿宋" w:hAnsi="仿宋" w:eastAsia="仿宋" w:cs="仿宋"/>
          <w:sz w:val="24"/>
          <w:szCs w:val="24"/>
        </w:rPr>
        <w:t>：</w:t>
      </w:r>
    </w:p>
    <w:p>
      <w:pPr>
        <w:widowControl/>
        <w:snapToGrid w:val="0"/>
        <w:spacing w:line="360" w:lineRule="auto"/>
        <w:ind w:firstLine="480" w:firstLineChars="200"/>
        <w:textAlignment w:val="baseline"/>
        <w:rPr>
          <w:rFonts w:ascii="仿宋" w:hAnsi="仿宋" w:eastAsia="仿宋" w:cs="仿宋"/>
          <w:b/>
          <w:bCs/>
          <w:color w:val="000000"/>
          <w:sz w:val="24"/>
          <w:szCs w:val="24"/>
        </w:rPr>
      </w:pPr>
      <w:r>
        <w:rPr>
          <w:rFonts w:hint="eastAsia" w:ascii="仿宋" w:hAnsi="仿宋" w:eastAsia="仿宋" w:cs="仿宋"/>
          <w:sz w:val="24"/>
          <w:szCs w:val="24"/>
        </w:rPr>
        <w:t>江苏法院人事管理系统运维服务（采购编号为：NJDCX-202311220826）竞争性磋商文件（包括更正公告，如果有的话）收悉，我们经详细审阅和研究，现决定参加磋商。</w:t>
      </w:r>
    </w:p>
    <w:p>
      <w:pPr>
        <w:widowControl/>
        <w:snapToGrid w:val="0"/>
        <w:spacing w:line="360" w:lineRule="auto"/>
        <w:ind w:firstLine="480" w:firstLineChars="200"/>
        <w:textAlignment w:val="baseline"/>
        <w:rPr>
          <w:rFonts w:ascii="仿宋" w:hAnsi="仿宋" w:eastAsia="仿宋" w:cs="仿宋"/>
          <w:color w:val="000000"/>
          <w:sz w:val="24"/>
          <w:szCs w:val="24"/>
        </w:rPr>
      </w:pPr>
      <w:r>
        <w:rPr>
          <w:rFonts w:hint="eastAsia" w:ascii="仿宋" w:hAnsi="仿宋" w:eastAsia="仿宋" w:cs="仿宋"/>
          <w:color w:val="000000"/>
          <w:sz w:val="24"/>
          <w:szCs w:val="24"/>
        </w:rPr>
        <w:t>1、我们郑重承诺：我们是符合《政府采购法》第22条规定的供应商，并严格遵守《政府采购法》第77条的规定，本响应文件中提供的所有材料均是真实有效的。</w:t>
      </w:r>
    </w:p>
    <w:p>
      <w:pPr>
        <w:widowControl/>
        <w:snapToGrid w:val="0"/>
        <w:spacing w:line="360" w:lineRule="auto"/>
        <w:textAlignment w:val="baseline"/>
        <w:rPr>
          <w:rFonts w:ascii="仿宋" w:hAnsi="仿宋" w:eastAsia="仿宋" w:cs="仿宋"/>
          <w:color w:val="000000"/>
          <w:sz w:val="24"/>
          <w:szCs w:val="24"/>
        </w:rPr>
      </w:pPr>
      <w:r>
        <w:rPr>
          <w:rFonts w:hint="eastAsia" w:ascii="仿宋" w:hAnsi="仿宋" w:eastAsia="仿宋" w:cs="仿宋"/>
          <w:color w:val="000000"/>
          <w:sz w:val="24"/>
          <w:szCs w:val="24"/>
        </w:rPr>
        <w:t xml:space="preserve">    2、我们接受竞争性磋商文件的所有的条款和规定。</w:t>
      </w:r>
    </w:p>
    <w:p>
      <w:pPr>
        <w:widowControl/>
        <w:snapToGrid w:val="0"/>
        <w:spacing w:line="360" w:lineRule="auto"/>
        <w:textAlignment w:val="baseline"/>
        <w:rPr>
          <w:rFonts w:ascii="仿宋" w:hAnsi="仿宋" w:eastAsia="仿宋" w:cs="仿宋"/>
          <w:color w:val="000000"/>
          <w:sz w:val="24"/>
          <w:szCs w:val="24"/>
        </w:rPr>
      </w:pPr>
      <w:r>
        <w:rPr>
          <w:rFonts w:hint="eastAsia" w:ascii="仿宋" w:hAnsi="仿宋" w:eastAsia="仿宋" w:cs="仿宋"/>
          <w:color w:val="000000"/>
          <w:sz w:val="24"/>
          <w:szCs w:val="24"/>
        </w:rPr>
        <w:t xml:space="preserve">    3、我们同意按照本竞争性磋商文件第二章“磋商须知”的规定，本响应文件的有效期为从磋商之日起计算的九十天，在此期间，本响应文件将始终对我们具有约束力，并可随时被接受。如果我们成交，本响应文件在此期间之后将继续保持有效。</w:t>
      </w:r>
    </w:p>
    <w:p>
      <w:pPr>
        <w:widowControl/>
        <w:snapToGrid w:val="0"/>
        <w:spacing w:line="360" w:lineRule="auto"/>
        <w:textAlignment w:val="baseline"/>
        <w:rPr>
          <w:rFonts w:ascii="仿宋" w:hAnsi="仿宋" w:eastAsia="仿宋" w:cs="仿宋"/>
          <w:color w:val="000000"/>
          <w:sz w:val="24"/>
          <w:szCs w:val="24"/>
        </w:rPr>
      </w:pPr>
      <w:r>
        <w:rPr>
          <w:rFonts w:hint="eastAsia" w:ascii="仿宋" w:hAnsi="仿宋" w:eastAsia="仿宋" w:cs="仿宋"/>
          <w:color w:val="000000"/>
          <w:sz w:val="24"/>
          <w:szCs w:val="24"/>
        </w:rPr>
        <w:t xml:space="preserve">    4、我们同意提供采购人要求的有关本次采购的所有资料。</w:t>
      </w:r>
    </w:p>
    <w:p>
      <w:pPr>
        <w:widowControl/>
        <w:snapToGrid w:val="0"/>
        <w:spacing w:line="360" w:lineRule="auto"/>
        <w:textAlignment w:val="baseline"/>
        <w:rPr>
          <w:rFonts w:ascii="仿宋" w:hAnsi="仿宋" w:eastAsia="仿宋" w:cs="仿宋"/>
          <w:color w:val="000000"/>
          <w:sz w:val="24"/>
          <w:szCs w:val="24"/>
        </w:rPr>
      </w:pPr>
      <w:r>
        <w:rPr>
          <w:rFonts w:hint="eastAsia" w:ascii="仿宋" w:hAnsi="仿宋" w:eastAsia="仿宋" w:cs="仿宋"/>
          <w:color w:val="000000"/>
          <w:sz w:val="24"/>
          <w:szCs w:val="24"/>
        </w:rPr>
        <w:t xml:space="preserve">    5、我们理解，你们无义务必须接受磋商报价最低的磋商，并有权拒绝所有的磋商。同时也理解你们不承担我们本次磋商的费用。</w:t>
      </w:r>
    </w:p>
    <w:p>
      <w:pPr>
        <w:widowControl/>
        <w:snapToGrid w:val="0"/>
        <w:spacing w:line="360" w:lineRule="auto"/>
        <w:textAlignment w:val="baseline"/>
        <w:rPr>
          <w:rFonts w:ascii="仿宋" w:hAnsi="仿宋" w:eastAsia="仿宋" w:cs="仿宋"/>
          <w:color w:val="000000"/>
          <w:sz w:val="24"/>
          <w:szCs w:val="24"/>
        </w:rPr>
      </w:pPr>
      <w:r>
        <w:rPr>
          <w:rFonts w:hint="eastAsia" w:ascii="仿宋" w:hAnsi="仿宋" w:eastAsia="仿宋" w:cs="仿宋"/>
          <w:color w:val="000000"/>
          <w:sz w:val="24"/>
          <w:szCs w:val="24"/>
        </w:rPr>
        <w:t xml:space="preserve">    6、如果我们成交，为执行合同，我们将按供应商须知有关要求提供必要的履约保证。</w:t>
      </w:r>
    </w:p>
    <w:p>
      <w:pPr>
        <w:widowControl/>
        <w:snapToGrid w:val="0"/>
        <w:spacing w:line="360" w:lineRule="auto"/>
        <w:textAlignment w:val="baseline"/>
        <w:rPr>
          <w:rFonts w:ascii="仿宋" w:hAnsi="仿宋" w:eastAsia="仿宋" w:cs="仿宋"/>
          <w:color w:val="000000"/>
          <w:sz w:val="24"/>
          <w:szCs w:val="24"/>
        </w:rPr>
      </w:pPr>
    </w:p>
    <w:p>
      <w:pPr>
        <w:widowControl/>
        <w:snapToGrid w:val="0"/>
        <w:spacing w:line="360" w:lineRule="auto"/>
        <w:textAlignment w:val="baseline"/>
        <w:rPr>
          <w:rFonts w:ascii="仿宋" w:hAnsi="仿宋" w:eastAsia="仿宋" w:cs="仿宋"/>
          <w:color w:val="000000"/>
          <w:sz w:val="24"/>
          <w:szCs w:val="24"/>
        </w:rPr>
      </w:pPr>
    </w:p>
    <w:p>
      <w:pPr>
        <w:widowControl/>
        <w:snapToGrid w:val="0"/>
        <w:spacing w:line="360" w:lineRule="auto"/>
        <w:textAlignment w:val="baseline"/>
        <w:rPr>
          <w:rFonts w:ascii="仿宋" w:hAnsi="仿宋" w:eastAsia="仿宋" w:cs="仿宋"/>
          <w:color w:val="000000"/>
          <w:sz w:val="24"/>
          <w:szCs w:val="24"/>
        </w:rPr>
      </w:pPr>
      <w:r>
        <w:rPr>
          <w:rFonts w:hint="eastAsia" w:ascii="仿宋" w:hAnsi="仿宋" w:eastAsia="仿宋" w:cs="仿宋"/>
          <w:color w:val="000000"/>
          <w:sz w:val="24"/>
          <w:szCs w:val="24"/>
        </w:rPr>
        <w:t>供应商名称：（公章）</w:t>
      </w:r>
    </w:p>
    <w:p>
      <w:pPr>
        <w:widowControl/>
        <w:snapToGrid w:val="0"/>
        <w:spacing w:line="360" w:lineRule="auto"/>
        <w:textAlignment w:val="baseline"/>
        <w:rPr>
          <w:rFonts w:ascii="仿宋" w:hAnsi="仿宋" w:eastAsia="仿宋" w:cs="仿宋"/>
          <w:color w:val="000000"/>
          <w:sz w:val="24"/>
          <w:szCs w:val="24"/>
        </w:rPr>
      </w:pPr>
      <w:r>
        <w:rPr>
          <w:rFonts w:hint="eastAsia" w:ascii="仿宋" w:hAnsi="仿宋" w:eastAsia="仿宋" w:cs="仿宋"/>
          <w:color w:val="000000"/>
          <w:sz w:val="24"/>
          <w:szCs w:val="24"/>
        </w:rPr>
        <w:t>地址：                          邮编：</w:t>
      </w:r>
    </w:p>
    <w:p>
      <w:pPr>
        <w:widowControl/>
        <w:snapToGrid w:val="0"/>
        <w:spacing w:line="360" w:lineRule="auto"/>
        <w:textAlignment w:val="baseline"/>
        <w:rPr>
          <w:rFonts w:ascii="仿宋" w:hAnsi="仿宋" w:eastAsia="仿宋" w:cs="仿宋"/>
          <w:color w:val="000000"/>
          <w:sz w:val="24"/>
          <w:szCs w:val="24"/>
        </w:rPr>
      </w:pPr>
      <w:r>
        <w:rPr>
          <w:rFonts w:hint="eastAsia" w:ascii="仿宋" w:hAnsi="仿宋" w:eastAsia="仿宋" w:cs="仿宋"/>
          <w:color w:val="000000"/>
          <w:sz w:val="24"/>
          <w:szCs w:val="24"/>
        </w:rPr>
        <w:t xml:space="preserve">电话：                          传真：          </w:t>
      </w:r>
    </w:p>
    <w:p>
      <w:pPr>
        <w:widowControl/>
        <w:snapToGrid w:val="0"/>
        <w:spacing w:line="360" w:lineRule="auto"/>
        <w:textAlignment w:val="baseline"/>
        <w:rPr>
          <w:rFonts w:ascii="仿宋" w:hAnsi="仿宋" w:eastAsia="仿宋" w:cs="仿宋"/>
          <w:color w:val="000000"/>
          <w:sz w:val="24"/>
          <w:szCs w:val="24"/>
        </w:rPr>
      </w:pPr>
      <w:r>
        <w:rPr>
          <w:rFonts w:hint="eastAsia" w:ascii="仿宋" w:hAnsi="仿宋" w:eastAsia="仿宋" w:cs="仿宋"/>
          <w:color w:val="000000"/>
          <w:sz w:val="24"/>
          <w:szCs w:val="24"/>
        </w:rPr>
        <w:t xml:space="preserve">法定代表人（授权代表）（签字或盖章）：                   </w:t>
      </w:r>
    </w:p>
    <w:p>
      <w:pPr>
        <w:widowControl/>
        <w:snapToGrid w:val="0"/>
        <w:spacing w:line="360" w:lineRule="auto"/>
        <w:textAlignment w:val="baseline"/>
        <w:rPr>
          <w:rFonts w:ascii="仿宋" w:hAnsi="仿宋" w:eastAsia="仿宋" w:cs="仿宋"/>
          <w:color w:val="000000"/>
          <w:sz w:val="24"/>
          <w:szCs w:val="24"/>
        </w:rPr>
      </w:pPr>
      <w:r>
        <w:rPr>
          <w:rFonts w:hint="eastAsia" w:ascii="仿宋" w:hAnsi="仿宋" w:eastAsia="仿宋" w:cs="仿宋"/>
          <w:color w:val="000000"/>
          <w:sz w:val="24"/>
          <w:szCs w:val="24"/>
        </w:rPr>
        <w:t xml:space="preserve">职务：                  </w:t>
      </w:r>
    </w:p>
    <w:p>
      <w:pPr>
        <w:widowControl/>
        <w:snapToGrid w:val="0"/>
        <w:spacing w:line="360" w:lineRule="auto"/>
        <w:textAlignment w:val="baseline"/>
        <w:rPr>
          <w:rFonts w:ascii="仿宋" w:hAnsi="仿宋" w:eastAsia="仿宋" w:cs="仿宋"/>
          <w:color w:val="000000"/>
          <w:sz w:val="24"/>
          <w:szCs w:val="24"/>
        </w:rPr>
      </w:pPr>
      <w:r>
        <w:rPr>
          <w:rFonts w:hint="eastAsia" w:ascii="仿宋" w:hAnsi="仿宋" w:eastAsia="仿宋" w:cs="仿宋"/>
          <w:color w:val="000000"/>
          <w:sz w:val="24"/>
          <w:szCs w:val="24"/>
        </w:rPr>
        <w:t xml:space="preserve">日期：                  </w:t>
      </w:r>
      <w:bookmarkStart w:id="148" w:name="_Toc27417"/>
      <w:bookmarkStart w:id="149" w:name="_Toc2237"/>
    </w:p>
    <w:p>
      <w:pPr>
        <w:widowControl/>
        <w:snapToGrid w:val="0"/>
        <w:spacing w:line="360" w:lineRule="auto"/>
        <w:textAlignment w:val="baseline"/>
        <w:rPr>
          <w:rFonts w:ascii="仿宋" w:hAnsi="仿宋" w:eastAsia="仿宋" w:cs="仿宋"/>
          <w:color w:val="000000"/>
          <w:sz w:val="24"/>
          <w:szCs w:val="24"/>
        </w:rPr>
      </w:pPr>
      <w:r>
        <w:rPr>
          <w:rFonts w:hint="eastAsia" w:ascii="仿宋" w:hAnsi="仿宋" w:eastAsia="仿宋" w:cs="仿宋"/>
          <w:color w:val="000000"/>
          <w:sz w:val="24"/>
          <w:szCs w:val="24"/>
        </w:rPr>
        <w:br w:type="page"/>
      </w:r>
    </w:p>
    <w:p>
      <w:pPr>
        <w:pStyle w:val="45"/>
        <w:numPr>
          <w:ilvl w:val="0"/>
          <w:numId w:val="0"/>
        </w:numPr>
        <w:spacing w:before="312" w:after="312" w:line="360" w:lineRule="auto"/>
        <w:jc w:val="center"/>
        <w:textAlignment w:val="baseline"/>
        <w:rPr>
          <w:rFonts w:ascii="仿宋" w:hAnsi="仿宋" w:eastAsia="仿宋" w:cs="仿宋"/>
          <w:color w:val="000000"/>
          <w:sz w:val="32"/>
          <w:szCs w:val="32"/>
        </w:rPr>
      </w:pPr>
      <w:bookmarkStart w:id="150" w:name="_Toc25170486"/>
      <w:bookmarkStart w:id="151" w:name="_Toc16299"/>
      <w:bookmarkStart w:id="152" w:name="_Toc19432"/>
      <w:bookmarkStart w:id="153" w:name="_Toc25062"/>
      <w:r>
        <w:rPr>
          <w:rFonts w:hint="eastAsia" w:ascii="仿宋" w:hAnsi="仿宋" w:eastAsia="仿宋" w:cs="仿宋"/>
          <w:color w:val="000000"/>
          <w:sz w:val="32"/>
          <w:szCs w:val="32"/>
        </w:rPr>
        <w:t>二、报价一览表</w:t>
      </w:r>
      <w:bookmarkEnd w:id="148"/>
      <w:bookmarkEnd w:id="149"/>
      <w:bookmarkEnd w:id="150"/>
      <w:bookmarkEnd w:id="151"/>
      <w:bookmarkEnd w:id="152"/>
      <w:bookmarkEnd w:id="153"/>
    </w:p>
    <w:p>
      <w:pPr>
        <w:pStyle w:val="46"/>
        <w:spacing w:line="360" w:lineRule="auto"/>
        <w:textAlignment w:val="baseline"/>
        <w:rPr>
          <w:rFonts w:ascii="仿宋" w:hAnsi="仿宋" w:eastAsia="仿宋" w:cs="仿宋"/>
          <w:color w:val="000000"/>
        </w:rPr>
      </w:pPr>
    </w:p>
    <w:tbl>
      <w:tblPr>
        <w:tblStyle w:val="31"/>
        <w:tblpPr w:leftFromText="45" w:rightFromText="45" w:vertAnchor="text"/>
        <w:tblW w:w="9882" w:type="dxa"/>
        <w:tblCellSpacing w:w="0" w:type="dxa"/>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3334"/>
        <w:gridCol w:w="6548"/>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534" w:hRule="atLeast"/>
          <w:tblCellSpacing w:w="0" w:type="dxa"/>
        </w:trPr>
        <w:tc>
          <w:tcPr>
            <w:tcW w:w="3334" w:type="dxa"/>
            <w:tcBorders>
              <w:top w:val="single" w:color="auto" w:sz="4" w:space="0"/>
              <w:left w:val="single" w:color="000000" w:sz="6" w:space="0"/>
              <w:bottom w:val="single" w:color="auto" w:sz="4" w:space="0"/>
              <w:right w:val="single" w:color="auto" w:sz="4" w:space="0"/>
            </w:tcBorders>
            <w:vAlign w:val="center"/>
          </w:tcPr>
          <w:p>
            <w:pPr>
              <w:spacing w:line="360" w:lineRule="auto"/>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项目名称</w:t>
            </w:r>
          </w:p>
        </w:tc>
        <w:tc>
          <w:tcPr>
            <w:tcW w:w="654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江苏法院人事管理系统运维服务</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066" w:hRule="atLeast"/>
          <w:tblCellSpacing w:w="0" w:type="dxa"/>
        </w:trPr>
        <w:tc>
          <w:tcPr>
            <w:tcW w:w="3334" w:type="dxa"/>
            <w:tcBorders>
              <w:top w:val="single" w:color="auto" w:sz="4" w:space="0"/>
              <w:left w:val="single" w:color="auto" w:sz="4" w:space="0"/>
              <w:bottom w:val="single" w:color="auto" w:sz="4" w:space="0"/>
              <w:right w:val="single" w:color="auto" w:sz="4" w:space="0"/>
            </w:tcBorders>
            <w:vAlign w:val="center"/>
          </w:tcPr>
          <w:p>
            <w:pPr>
              <w:tabs>
                <w:tab w:val="left" w:pos="142"/>
              </w:tabs>
              <w:spacing w:line="360" w:lineRule="auto"/>
              <w:ind w:firstLine="1200" w:firstLineChars="500"/>
              <w:textAlignment w:val="baseline"/>
              <w:rPr>
                <w:rFonts w:ascii="仿宋" w:hAnsi="仿宋" w:eastAsia="仿宋" w:cs="仿宋"/>
                <w:color w:val="000000"/>
                <w:sz w:val="24"/>
                <w:szCs w:val="24"/>
              </w:rPr>
            </w:pPr>
            <w:r>
              <w:rPr>
                <w:rFonts w:hint="eastAsia" w:ascii="仿宋" w:hAnsi="仿宋" w:eastAsia="仿宋" w:cs="仿宋"/>
                <w:sz w:val="24"/>
                <w:szCs w:val="24"/>
              </w:rPr>
              <w:t>项目编号</w:t>
            </w:r>
          </w:p>
        </w:tc>
        <w:tc>
          <w:tcPr>
            <w:tcW w:w="6548" w:type="dxa"/>
            <w:tcBorders>
              <w:top w:val="single" w:color="auto" w:sz="4" w:space="0"/>
              <w:left w:val="single" w:color="auto" w:sz="4" w:space="0"/>
              <w:bottom w:val="single" w:color="auto" w:sz="4" w:space="0"/>
              <w:right w:val="single" w:color="auto" w:sz="4" w:space="0"/>
            </w:tcBorders>
            <w:vAlign w:val="center"/>
          </w:tcPr>
          <w:p>
            <w:pPr>
              <w:tabs>
                <w:tab w:val="left" w:pos="142"/>
              </w:tabs>
              <w:spacing w:line="360" w:lineRule="auto"/>
              <w:jc w:val="center"/>
              <w:textAlignment w:val="baseline"/>
              <w:rPr>
                <w:rFonts w:ascii="仿宋" w:hAnsi="仿宋" w:eastAsia="仿宋" w:cs="仿宋"/>
                <w:color w:val="000000"/>
                <w:sz w:val="24"/>
                <w:szCs w:val="24"/>
              </w:rPr>
            </w:pPr>
            <w:r>
              <w:rPr>
                <w:rFonts w:hint="eastAsia" w:ascii="仿宋" w:hAnsi="仿宋" w:eastAsia="仿宋" w:cs="仿宋"/>
                <w:sz w:val="24"/>
                <w:szCs w:val="24"/>
              </w:rPr>
              <w:t>NJDCX-202311220826</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090" w:hRule="atLeast"/>
          <w:tblCellSpacing w:w="0" w:type="dxa"/>
        </w:trPr>
        <w:tc>
          <w:tcPr>
            <w:tcW w:w="33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每年报价</w:t>
            </w:r>
          </w:p>
        </w:tc>
        <w:tc>
          <w:tcPr>
            <w:tcW w:w="654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w:t>
            </w:r>
            <w:r>
              <w:rPr>
                <w:rFonts w:hint="eastAsia" w:ascii="仿宋" w:hAnsi="仿宋" w:eastAsia="仿宋" w:cs="仿宋"/>
                <w:color w:val="000000"/>
                <w:sz w:val="24"/>
                <w:szCs w:val="24"/>
                <w:u w:val="single" w:color="000000"/>
              </w:rPr>
              <w:t> 　　    　</w:t>
            </w:r>
            <w:r>
              <w:rPr>
                <w:rFonts w:hint="eastAsia" w:ascii="仿宋" w:hAnsi="仿宋" w:eastAsia="仿宋" w:cs="仿宋"/>
                <w:color w:val="000000"/>
                <w:sz w:val="24"/>
                <w:szCs w:val="24"/>
              </w:rPr>
              <w:t>元整</w:t>
            </w:r>
            <w:r>
              <w:rPr>
                <w:rFonts w:hint="eastAsia" w:ascii="仿宋" w:hAnsi="仿宋" w:eastAsia="仿宋" w:cs="仿宋"/>
                <w:color w:val="000000"/>
                <w:sz w:val="24"/>
                <w:szCs w:val="24"/>
              </w:rPr>
              <w:br w:type="textWrapping"/>
            </w:r>
            <w:r>
              <w:rPr>
                <w:rFonts w:hint="eastAsia" w:ascii="仿宋" w:hAnsi="仿宋" w:eastAsia="仿宋" w:cs="仿宋"/>
                <w:color w:val="000000"/>
                <w:sz w:val="24"/>
                <w:szCs w:val="24"/>
              </w:rPr>
              <w:t>人民币 (大写)：_______________</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090" w:hRule="atLeast"/>
          <w:tblCellSpacing w:w="0" w:type="dxa"/>
        </w:trPr>
        <w:tc>
          <w:tcPr>
            <w:tcW w:w="33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报价总计</w:t>
            </w:r>
          </w:p>
        </w:tc>
        <w:tc>
          <w:tcPr>
            <w:tcW w:w="654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w:t>
            </w:r>
            <w:r>
              <w:rPr>
                <w:rFonts w:hint="eastAsia" w:ascii="仿宋" w:hAnsi="仿宋" w:eastAsia="仿宋" w:cs="仿宋"/>
                <w:color w:val="000000"/>
                <w:sz w:val="24"/>
                <w:szCs w:val="24"/>
                <w:u w:val="single" w:color="000000"/>
              </w:rPr>
              <w:t> 　　    　</w:t>
            </w:r>
            <w:r>
              <w:rPr>
                <w:rFonts w:hint="eastAsia" w:ascii="仿宋" w:hAnsi="仿宋" w:eastAsia="仿宋" w:cs="仿宋"/>
                <w:color w:val="000000"/>
                <w:sz w:val="24"/>
                <w:szCs w:val="24"/>
              </w:rPr>
              <w:t>元整</w:t>
            </w:r>
            <w:r>
              <w:rPr>
                <w:rFonts w:hint="eastAsia" w:ascii="仿宋" w:hAnsi="仿宋" w:eastAsia="仿宋" w:cs="仿宋"/>
                <w:color w:val="000000"/>
                <w:sz w:val="24"/>
                <w:szCs w:val="24"/>
              </w:rPr>
              <w:br w:type="textWrapping"/>
            </w:r>
            <w:r>
              <w:rPr>
                <w:rFonts w:hint="eastAsia" w:ascii="仿宋" w:hAnsi="仿宋" w:eastAsia="仿宋" w:cs="仿宋"/>
                <w:color w:val="000000"/>
                <w:sz w:val="24"/>
                <w:szCs w:val="24"/>
              </w:rPr>
              <w:t>人民币 (大写)：_______________</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090" w:hRule="atLeast"/>
          <w:tblCellSpacing w:w="0" w:type="dxa"/>
        </w:trPr>
        <w:tc>
          <w:tcPr>
            <w:tcW w:w="33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服务时间</w:t>
            </w:r>
          </w:p>
        </w:tc>
        <w:tc>
          <w:tcPr>
            <w:tcW w:w="6548" w:type="dxa"/>
            <w:tcBorders>
              <w:top w:val="single" w:color="auto" w:sz="4" w:space="0"/>
              <w:left w:val="single" w:color="auto" w:sz="4" w:space="0"/>
              <w:bottom w:val="single" w:color="auto" w:sz="4" w:space="0"/>
              <w:right w:val="single" w:color="auto" w:sz="4" w:space="0"/>
            </w:tcBorders>
            <w:vAlign w:val="center"/>
          </w:tcPr>
          <w:p>
            <w:pPr>
              <w:spacing w:line="360" w:lineRule="auto"/>
              <w:textAlignment w:val="baseline"/>
              <w:rPr>
                <w:rFonts w:ascii="仿宋" w:hAnsi="仿宋" w:eastAsia="仿宋" w:cs="仿宋"/>
                <w:color w:val="000000"/>
                <w:sz w:val="24"/>
                <w:szCs w:val="24"/>
              </w:rPr>
            </w:pPr>
            <w:r>
              <w:rPr>
                <w:rFonts w:hint="eastAsia" w:ascii="仿宋" w:hAnsi="仿宋" w:eastAsia="仿宋" w:cs="仿宋"/>
                <w:sz w:val="24"/>
                <w:szCs w:val="24"/>
              </w:rPr>
              <w:t xml:space="preserve">                     </w:t>
            </w:r>
            <w:r>
              <w:rPr>
                <w:rFonts w:hint="eastAsia" w:ascii="仿宋" w:hAnsi="仿宋" w:eastAsia="仿宋" w:cs="仿宋"/>
                <w:sz w:val="24"/>
                <w:szCs w:val="24"/>
                <w:u w:val="single" w:color="000000"/>
              </w:rPr>
              <w:t xml:space="preserve">      两年     </w:t>
            </w:r>
          </w:p>
        </w:tc>
      </w:tr>
    </w:tbl>
    <w:p>
      <w:pPr>
        <w:pStyle w:val="28"/>
        <w:spacing w:before="0" w:beforeAutospacing="0" w:after="0" w:afterAutospacing="0" w:line="360" w:lineRule="auto"/>
        <w:textAlignment w:val="baseline"/>
        <w:rPr>
          <w:rFonts w:ascii="仿宋" w:hAnsi="仿宋" w:eastAsia="仿宋" w:cs="仿宋"/>
          <w:color w:val="000000"/>
        </w:rPr>
      </w:pPr>
    </w:p>
    <w:p>
      <w:pPr>
        <w:pStyle w:val="28"/>
        <w:spacing w:before="0" w:beforeAutospacing="0" w:after="0" w:afterAutospacing="0" w:line="360" w:lineRule="auto"/>
        <w:textAlignment w:val="baseline"/>
        <w:rPr>
          <w:rFonts w:ascii="仿宋" w:hAnsi="仿宋" w:eastAsia="仿宋" w:cs="仿宋"/>
          <w:color w:val="000000"/>
        </w:rPr>
      </w:pPr>
      <w:r>
        <w:rPr>
          <w:rFonts w:hint="eastAsia" w:ascii="仿宋" w:hAnsi="仿宋" w:eastAsia="仿宋" w:cs="仿宋"/>
          <w:color w:val="000000"/>
        </w:rPr>
        <w:t>供应商全称（公章）：  </w:t>
      </w:r>
    </w:p>
    <w:p>
      <w:pPr>
        <w:pStyle w:val="28"/>
        <w:spacing w:before="0" w:beforeAutospacing="0" w:after="0" w:afterAutospacing="0" w:line="360" w:lineRule="auto"/>
        <w:textAlignment w:val="baseline"/>
        <w:rPr>
          <w:rFonts w:ascii="仿宋" w:hAnsi="仿宋" w:eastAsia="仿宋" w:cs="仿宋"/>
          <w:color w:val="000000"/>
          <w:u w:val="single" w:color="000000"/>
        </w:rPr>
      </w:pPr>
      <w:r>
        <w:rPr>
          <w:rFonts w:hint="eastAsia" w:ascii="仿宋" w:hAnsi="仿宋" w:eastAsia="仿宋" w:cs="仿宋"/>
          <w:color w:val="000000"/>
        </w:rPr>
        <w:t xml:space="preserve">法定代表人（授权代表）（签字或盖章）： </w:t>
      </w:r>
      <w:r>
        <w:rPr>
          <w:rFonts w:hint="eastAsia" w:ascii="仿宋" w:hAnsi="仿宋" w:eastAsia="仿宋" w:cs="仿宋"/>
          <w:color w:val="000000"/>
          <w:u w:val="single" w:color="000000"/>
        </w:rPr>
        <w:t>       </w:t>
      </w:r>
    </w:p>
    <w:p>
      <w:pPr>
        <w:spacing w:line="360" w:lineRule="auto"/>
        <w:textAlignment w:val="baseline"/>
        <w:rPr>
          <w:rStyle w:val="34"/>
          <w:rFonts w:ascii="仿宋" w:hAnsi="仿宋" w:eastAsia="仿宋" w:cs="仿宋"/>
          <w:color w:val="000000"/>
          <w:sz w:val="20"/>
        </w:rPr>
      </w:pPr>
      <w:r>
        <w:rPr>
          <w:rStyle w:val="34"/>
          <w:rFonts w:hint="eastAsia" w:ascii="仿宋" w:hAnsi="仿宋" w:eastAsia="仿宋" w:cs="仿宋"/>
          <w:color w:val="000000"/>
        </w:rPr>
        <w:t>注:</w:t>
      </w:r>
    </w:p>
    <w:p>
      <w:pPr>
        <w:spacing w:line="360" w:lineRule="auto"/>
        <w:textAlignment w:val="baseline"/>
        <w:rPr>
          <w:rFonts w:ascii="仿宋" w:hAnsi="仿宋" w:eastAsia="仿宋" w:cs="仿宋"/>
          <w:sz w:val="24"/>
        </w:rPr>
      </w:pPr>
      <w:r>
        <w:rPr>
          <w:rFonts w:hint="eastAsia" w:ascii="仿宋" w:hAnsi="仿宋" w:eastAsia="仿宋" w:cs="仿宋"/>
          <w:sz w:val="24"/>
        </w:rPr>
        <w:t>1.所有价格均以人民币表示；</w:t>
      </w:r>
    </w:p>
    <w:p>
      <w:pPr>
        <w:spacing w:line="360" w:lineRule="auto"/>
        <w:textAlignment w:val="baseline"/>
        <w:rPr>
          <w:rFonts w:ascii="仿宋" w:hAnsi="仿宋" w:eastAsia="仿宋" w:cs="仿宋"/>
          <w:sz w:val="24"/>
        </w:rPr>
      </w:pPr>
      <w:r>
        <w:rPr>
          <w:rFonts w:hint="eastAsia" w:ascii="仿宋" w:hAnsi="仿宋" w:eastAsia="仿宋" w:cs="仿宋"/>
          <w:sz w:val="24"/>
        </w:rPr>
        <w:t>2.项目报价应包括磋商文件所规定的采购范围的全部内容（各类人工、税费、管理费以及一切技术和服务费等）。供应商漏报的费用，视为此项费用已隐含在响应报价中，成交后不得再向采购人收取任何费用；</w:t>
      </w:r>
    </w:p>
    <w:p>
      <w:pPr>
        <w:spacing w:line="360" w:lineRule="auto"/>
        <w:textAlignment w:val="baseline"/>
        <w:rPr>
          <w:rFonts w:ascii="仿宋" w:hAnsi="仿宋" w:eastAsia="仿宋" w:cs="仿宋"/>
          <w:sz w:val="24"/>
        </w:rPr>
      </w:pPr>
      <w:r>
        <w:rPr>
          <w:rFonts w:hint="eastAsia" w:ascii="仿宋" w:hAnsi="仿宋" w:eastAsia="仿宋" w:cs="仿宋"/>
          <w:sz w:val="24"/>
        </w:rPr>
        <w:t>3.磋商文件未列明，而供应商认为必需的费用也需列入报价；</w:t>
      </w:r>
    </w:p>
    <w:p>
      <w:pPr>
        <w:spacing w:line="360" w:lineRule="auto"/>
        <w:textAlignment w:val="baseline"/>
        <w:rPr>
          <w:rFonts w:ascii="仿宋" w:hAnsi="仿宋" w:eastAsia="仿宋" w:cs="仿宋"/>
          <w:sz w:val="24"/>
        </w:rPr>
      </w:pPr>
      <w:r>
        <w:rPr>
          <w:rFonts w:hint="eastAsia" w:ascii="仿宋" w:hAnsi="仿宋" w:eastAsia="仿宋" w:cs="仿宋"/>
          <w:sz w:val="24"/>
        </w:rPr>
        <w:t>4.供应商不得实质性改动报价一览表格式及内容。</w:t>
      </w:r>
    </w:p>
    <w:p>
      <w:pPr>
        <w:spacing w:line="360" w:lineRule="auto"/>
        <w:textAlignment w:val="baseline"/>
        <w:rPr>
          <w:rFonts w:ascii="仿宋" w:hAnsi="仿宋" w:eastAsia="仿宋" w:cs="仿宋"/>
          <w:sz w:val="24"/>
        </w:rPr>
        <w:sectPr>
          <w:footerReference r:id="rId11" w:type="default"/>
          <w:pgSz w:w="11906" w:h="16838"/>
          <w:pgMar w:top="1440" w:right="856" w:bottom="1440" w:left="856" w:header="851" w:footer="992" w:gutter="0"/>
          <w:pgNumType w:start="1"/>
          <w:cols w:space="0" w:num="1"/>
          <w:docGrid w:type="lines" w:linePitch="312" w:charSpace="0"/>
        </w:sectPr>
      </w:pPr>
    </w:p>
    <w:p>
      <w:pPr>
        <w:pStyle w:val="45"/>
        <w:numPr>
          <w:ilvl w:val="0"/>
          <w:numId w:val="0"/>
        </w:numPr>
        <w:spacing w:line="360" w:lineRule="auto"/>
        <w:jc w:val="center"/>
        <w:textAlignment w:val="baseline"/>
        <w:rPr>
          <w:rFonts w:ascii="仿宋" w:hAnsi="仿宋" w:eastAsia="仿宋" w:cs="仿宋"/>
          <w:sz w:val="24"/>
        </w:rPr>
      </w:pPr>
      <w:bookmarkStart w:id="154" w:name="_Toc26188"/>
      <w:bookmarkStart w:id="155" w:name="_Toc8485"/>
      <w:bookmarkStart w:id="156" w:name="_Toc25170487"/>
      <w:bookmarkStart w:id="157" w:name="_Toc17239"/>
      <w:bookmarkStart w:id="158" w:name="_Toc9985"/>
      <w:bookmarkStart w:id="159" w:name="_Toc25230"/>
      <w:bookmarkStart w:id="160" w:name="_Toc32325"/>
      <w:r>
        <w:rPr>
          <w:rFonts w:hint="eastAsia" w:ascii="仿宋" w:hAnsi="仿宋" w:eastAsia="仿宋" w:cs="仿宋"/>
          <w:color w:val="000000"/>
          <w:sz w:val="32"/>
          <w:szCs w:val="32"/>
        </w:rPr>
        <w:t>三、</w:t>
      </w:r>
      <w:bookmarkEnd w:id="154"/>
      <w:bookmarkEnd w:id="155"/>
      <w:bookmarkEnd w:id="156"/>
      <w:bookmarkEnd w:id="157"/>
      <w:r>
        <w:rPr>
          <w:rFonts w:hint="eastAsia" w:ascii="仿宋" w:hAnsi="仿宋" w:eastAsia="仿宋" w:cs="仿宋"/>
          <w:color w:val="000000"/>
          <w:sz w:val="32"/>
          <w:szCs w:val="32"/>
        </w:rPr>
        <w:t>报价明细表</w:t>
      </w:r>
      <w:bookmarkEnd w:id="158"/>
    </w:p>
    <w:p>
      <w:pPr>
        <w:pStyle w:val="30"/>
        <w:spacing w:line="360" w:lineRule="auto"/>
        <w:ind w:firstLine="480"/>
        <w:textAlignment w:val="baseline"/>
        <w:rPr>
          <w:rFonts w:ascii="仿宋" w:hAnsi="仿宋" w:eastAsia="仿宋" w:cs="仿宋"/>
          <w:sz w:val="24"/>
        </w:rPr>
      </w:pPr>
      <w:r>
        <w:rPr>
          <w:rFonts w:hint="eastAsia" w:ascii="仿宋" w:hAnsi="仿宋" w:eastAsia="仿宋" w:cs="仿宋"/>
          <w:sz w:val="24"/>
        </w:rPr>
        <w:t>项目名称：</w:t>
      </w:r>
      <w:r>
        <w:rPr>
          <w:rFonts w:hint="eastAsia" w:ascii="仿宋" w:hAnsi="仿宋" w:eastAsia="仿宋" w:cs="仿宋"/>
          <w:sz w:val="24"/>
          <w:szCs w:val="24"/>
        </w:rPr>
        <w:t>江苏法院人事管理系统运维服务</w:t>
      </w:r>
    </w:p>
    <w:p>
      <w:pPr>
        <w:pStyle w:val="30"/>
        <w:spacing w:line="360" w:lineRule="auto"/>
        <w:ind w:firstLine="480"/>
        <w:textAlignment w:val="baseline"/>
        <w:rPr>
          <w:rFonts w:ascii="仿宋" w:hAnsi="仿宋" w:eastAsia="仿宋" w:cs="仿宋"/>
          <w:sz w:val="24"/>
        </w:rPr>
      </w:pPr>
      <w:r>
        <w:rPr>
          <w:rFonts w:hint="eastAsia" w:ascii="仿宋" w:hAnsi="仿宋" w:eastAsia="仿宋" w:cs="仿宋"/>
          <w:sz w:val="24"/>
        </w:rPr>
        <w:t>项目编号：</w:t>
      </w:r>
      <w:r>
        <w:rPr>
          <w:rFonts w:hint="eastAsia" w:ascii="仿宋" w:hAnsi="仿宋" w:eastAsia="仿宋" w:cs="仿宋"/>
          <w:sz w:val="24"/>
          <w:szCs w:val="24"/>
        </w:rPr>
        <w:t>NJDCX-202311220826</w:t>
      </w:r>
    </w:p>
    <w:p>
      <w:pPr>
        <w:textAlignment w:val="baseline"/>
        <w:rPr>
          <w:rFonts w:ascii="仿宋" w:hAnsi="仿宋" w:eastAsia="仿宋" w:cs="仿宋"/>
          <w:sz w:val="24"/>
        </w:rPr>
      </w:pPr>
    </w:p>
    <w:tbl>
      <w:tblPr>
        <w:tblStyle w:val="31"/>
        <w:tblW w:w="92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6"/>
        <w:gridCol w:w="1801"/>
        <w:gridCol w:w="1719"/>
        <w:gridCol w:w="1258"/>
        <w:gridCol w:w="1320"/>
        <w:gridCol w:w="2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036" w:type="dxa"/>
            <w:vAlign w:val="center"/>
          </w:tcPr>
          <w:p>
            <w:pPr>
              <w:spacing w:line="360" w:lineRule="auto"/>
              <w:jc w:val="center"/>
              <w:textAlignment w:val="baseline"/>
              <w:rPr>
                <w:rFonts w:ascii="仿宋" w:hAnsi="仿宋" w:eastAsia="仿宋" w:cs="仿宋"/>
                <w:sz w:val="24"/>
              </w:rPr>
            </w:pPr>
            <w:r>
              <w:rPr>
                <w:rFonts w:hint="eastAsia" w:ascii="仿宋" w:hAnsi="仿宋" w:eastAsia="仿宋" w:cs="仿宋"/>
                <w:sz w:val="24"/>
              </w:rPr>
              <w:t>序号</w:t>
            </w:r>
          </w:p>
        </w:tc>
        <w:tc>
          <w:tcPr>
            <w:tcW w:w="1801" w:type="dxa"/>
            <w:vAlign w:val="center"/>
          </w:tcPr>
          <w:p>
            <w:pPr>
              <w:spacing w:line="360" w:lineRule="auto"/>
              <w:jc w:val="center"/>
              <w:textAlignment w:val="baseline"/>
              <w:rPr>
                <w:rFonts w:ascii="仿宋" w:hAnsi="仿宋" w:eastAsia="仿宋" w:cs="仿宋"/>
                <w:sz w:val="24"/>
              </w:rPr>
            </w:pPr>
            <w:r>
              <w:rPr>
                <w:rFonts w:hint="eastAsia" w:ascii="仿宋" w:hAnsi="仿宋" w:eastAsia="仿宋" w:cs="仿宋"/>
                <w:sz w:val="24"/>
              </w:rPr>
              <w:t>服务名称</w:t>
            </w:r>
          </w:p>
        </w:tc>
        <w:tc>
          <w:tcPr>
            <w:tcW w:w="1719" w:type="dxa"/>
            <w:vAlign w:val="center"/>
          </w:tcPr>
          <w:p>
            <w:pPr>
              <w:spacing w:line="360" w:lineRule="auto"/>
              <w:jc w:val="center"/>
              <w:textAlignment w:val="baseline"/>
              <w:rPr>
                <w:rFonts w:ascii="仿宋" w:hAnsi="仿宋" w:eastAsia="仿宋" w:cs="仿宋"/>
                <w:sz w:val="24"/>
              </w:rPr>
            </w:pPr>
            <w:r>
              <w:rPr>
                <w:rFonts w:hint="eastAsia" w:ascii="仿宋" w:hAnsi="仿宋" w:eastAsia="仿宋" w:cs="仿宋"/>
                <w:sz w:val="24"/>
              </w:rPr>
              <w:t>分项单位</w:t>
            </w:r>
          </w:p>
        </w:tc>
        <w:tc>
          <w:tcPr>
            <w:tcW w:w="1258" w:type="dxa"/>
            <w:vAlign w:val="center"/>
          </w:tcPr>
          <w:p>
            <w:pPr>
              <w:spacing w:line="360" w:lineRule="auto"/>
              <w:jc w:val="center"/>
              <w:textAlignment w:val="baseline"/>
              <w:rPr>
                <w:rFonts w:ascii="仿宋" w:hAnsi="仿宋" w:eastAsia="仿宋" w:cs="仿宋"/>
                <w:sz w:val="24"/>
              </w:rPr>
            </w:pPr>
            <w:r>
              <w:rPr>
                <w:rFonts w:hint="eastAsia" w:ascii="仿宋" w:hAnsi="仿宋" w:eastAsia="仿宋" w:cs="仿宋"/>
                <w:sz w:val="24"/>
              </w:rPr>
              <w:t>数量</w:t>
            </w:r>
          </w:p>
        </w:tc>
        <w:tc>
          <w:tcPr>
            <w:tcW w:w="1320" w:type="dxa"/>
            <w:vAlign w:val="center"/>
          </w:tcPr>
          <w:p>
            <w:pPr>
              <w:spacing w:line="360" w:lineRule="auto"/>
              <w:jc w:val="center"/>
              <w:textAlignment w:val="baseline"/>
              <w:rPr>
                <w:rFonts w:ascii="仿宋" w:hAnsi="仿宋" w:eastAsia="仿宋" w:cs="仿宋"/>
                <w:sz w:val="24"/>
              </w:rPr>
            </w:pPr>
            <w:r>
              <w:rPr>
                <w:rFonts w:hint="eastAsia" w:ascii="仿宋" w:hAnsi="仿宋" w:eastAsia="仿宋" w:cs="仿宋"/>
                <w:sz w:val="24"/>
              </w:rPr>
              <w:t>单价</w:t>
            </w:r>
          </w:p>
          <w:p>
            <w:pPr>
              <w:spacing w:line="360" w:lineRule="auto"/>
              <w:jc w:val="center"/>
              <w:textAlignment w:val="baseline"/>
              <w:rPr>
                <w:rFonts w:ascii="仿宋" w:hAnsi="仿宋" w:eastAsia="仿宋" w:cs="仿宋"/>
                <w:sz w:val="24"/>
              </w:rPr>
            </w:pPr>
            <w:r>
              <w:rPr>
                <w:rFonts w:hint="eastAsia" w:ascii="仿宋" w:hAnsi="仿宋" w:eastAsia="仿宋" w:cs="仿宋"/>
                <w:sz w:val="24"/>
              </w:rPr>
              <w:t>（元）</w:t>
            </w:r>
          </w:p>
        </w:tc>
        <w:tc>
          <w:tcPr>
            <w:tcW w:w="2105" w:type="dxa"/>
            <w:vAlign w:val="center"/>
          </w:tcPr>
          <w:p>
            <w:pPr>
              <w:spacing w:line="360" w:lineRule="auto"/>
              <w:jc w:val="center"/>
              <w:textAlignment w:val="baseline"/>
              <w:rPr>
                <w:rFonts w:ascii="仿宋" w:hAnsi="仿宋" w:eastAsia="仿宋" w:cs="仿宋"/>
                <w:sz w:val="24"/>
              </w:rPr>
            </w:pPr>
            <w:r>
              <w:rPr>
                <w:rFonts w:hint="eastAsia" w:ascii="仿宋" w:hAnsi="仿宋" w:eastAsia="仿宋" w:cs="仿宋"/>
                <w:sz w:val="24"/>
              </w:rPr>
              <w:t>单项</w:t>
            </w:r>
          </w:p>
          <w:p>
            <w:pPr>
              <w:spacing w:line="360" w:lineRule="auto"/>
              <w:jc w:val="center"/>
              <w:textAlignment w:val="baseline"/>
              <w:rPr>
                <w:rFonts w:ascii="仿宋" w:hAnsi="仿宋" w:eastAsia="仿宋" w:cs="仿宋"/>
                <w:sz w:val="24"/>
              </w:rPr>
            </w:pPr>
            <w:r>
              <w:rPr>
                <w:rFonts w:hint="eastAsia" w:ascii="仿宋" w:hAnsi="仿宋" w:eastAsia="仿宋" w:cs="仿宋"/>
                <w:sz w:val="24"/>
              </w:rPr>
              <w:t>合计价</w:t>
            </w:r>
          </w:p>
          <w:p>
            <w:pPr>
              <w:spacing w:line="360" w:lineRule="auto"/>
              <w:jc w:val="center"/>
              <w:textAlignment w:val="baseline"/>
              <w:rPr>
                <w:rFonts w:ascii="仿宋" w:hAnsi="仿宋" w:eastAsia="仿宋" w:cs="仿宋"/>
                <w:sz w:val="24"/>
              </w:rPr>
            </w:pPr>
            <w:r>
              <w:rPr>
                <w:rFonts w:hint="eastAsia" w:ascii="仿宋" w:hAnsi="仿宋" w:eastAsia="仿宋" w:cs="仿宋"/>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036" w:type="dxa"/>
            <w:vAlign w:val="center"/>
          </w:tcPr>
          <w:p>
            <w:pPr>
              <w:spacing w:line="360" w:lineRule="auto"/>
              <w:jc w:val="center"/>
              <w:textAlignment w:val="baseline"/>
              <w:rPr>
                <w:rFonts w:ascii="仿宋" w:hAnsi="仿宋" w:eastAsia="仿宋" w:cs="仿宋"/>
                <w:sz w:val="24"/>
              </w:rPr>
            </w:pPr>
          </w:p>
        </w:tc>
        <w:tc>
          <w:tcPr>
            <w:tcW w:w="1801" w:type="dxa"/>
            <w:vAlign w:val="center"/>
          </w:tcPr>
          <w:p>
            <w:pPr>
              <w:spacing w:line="360" w:lineRule="auto"/>
              <w:jc w:val="center"/>
              <w:textAlignment w:val="baseline"/>
              <w:rPr>
                <w:rFonts w:ascii="仿宋" w:hAnsi="仿宋" w:eastAsia="仿宋" w:cs="仿宋"/>
                <w:sz w:val="24"/>
              </w:rPr>
            </w:pPr>
          </w:p>
        </w:tc>
        <w:tc>
          <w:tcPr>
            <w:tcW w:w="1719" w:type="dxa"/>
            <w:vAlign w:val="center"/>
          </w:tcPr>
          <w:p>
            <w:pPr>
              <w:spacing w:line="360" w:lineRule="auto"/>
              <w:jc w:val="center"/>
              <w:textAlignment w:val="baseline"/>
              <w:rPr>
                <w:rFonts w:ascii="仿宋" w:hAnsi="仿宋" w:eastAsia="仿宋" w:cs="仿宋"/>
                <w:sz w:val="24"/>
              </w:rPr>
            </w:pPr>
          </w:p>
        </w:tc>
        <w:tc>
          <w:tcPr>
            <w:tcW w:w="1258" w:type="dxa"/>
            <w:vAlign w:val="center"/>
          </w:tcPr>
          <w:p>
            <w:pPr>
              <w:spacing w:line="360" w:lineRule="auto"/>
              <w:jc w:val="center"/>
              <w:textAlignment w:val="baseline"/>
              <w:rPr>
                <w:rFonts w:ascii="仿宋" w:hAnsi="仿宋" w:eastAsia="仿宋" w:cs="仿宋"/>
                <w:sz w:val="24"/>
              </w:rPr>
            </w:pPr>
          </w:p>
        </w:tc>
        <w:tc>
          <w:tcPr>
            <w:tcW w:w="1320" w:type="dxa"/>
            <w:vAlign w:val="center"/>
          </w:tcPr>
          <w:p>
            <w:pPr>
              <w:spacing w:line="360" w:lineRule="auto"/>
              <w:jc w:val="center"/>
              <w:textAlignment w:val="baseline"/>
              <w:rPr>
                <w:rFonts w:ascii="仿宋" w:hAnsi="仿宋" w:eastAsia="仿宋" w:cs="仿宋"/>
                <w:sz w:val="24"/>
              </w:rPr>
            </w:pPr>
          </w:p>
        </w:tc>
        <w:tc>
          <w:tcPr>
            <w:tcW w:w="2105" w:type="dxa"/>
            <w:vAlign w:val="center"/>
          </w:tcPr>
          <w:p>
            <w:pPr>
              <w:spacing w:line="360" w:lineRule="auto"/>
              <w:jc w:val="center"/>
              <w:textAlignment w:val="baseline"/>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036" w:type="dxa"/>
            <w:vAlign w:val="center"/>
          </w:tcPr>
          <w:p>
            <w:pPr>
              <w:spacing w:line="360" w:lineRule="auto"/>
              <w:jc w:val="center"/>
              <w:textAlignment w:val="baseline"/>
              <w:rPr>
                <w:rFonts w:ascii="仿宋" w:hAnsi="仿宋" w:eastAsia="仿宋" w:cs="仿宋"/>
                <w:sz w:val="24"/>
              </w:rPr>
            </w:pPr>
          </w:p>
        </w:tc>
        <w:tc>
          <w:tcPr>
            <w:tcW w:w="1801" w:type="dxa"/>
            <w:vAlign w:val="center"/>
          </w:tcPr>
          <w:p>
            <w:pPr>
              <w:spacing w:line="360" w:lineRule="auto"/>
              <w:jc w:val="center"/>
              <w:textAlignment w:val="baseline"/>
              <w:rPr>
                <w:rFonts w:ascii="仿宋" w:hAnsi="仿宋" w:eastAsia="仿宋" w:cs="仿宋"/>
                <w:sz w:val="24"/>
              </w:rPr>
            </w:pPr>
          </w:p>
        </w:tc>
        <w:tc>
          <w:tcPr>
            <w:tcW w:w="1719" w:type="dxa"/>
            <w:vAlign w:val="center"/>
          </w:tcPr>
          <w:p>
            <w:pPr>
              <w:spacing w:line="360" w:lineRule="auto"/>
              <w:jc w:val="center"/>
              <w:textAlignment w:val="baseline"/>
              <w:rPr>
                <w:rFonts w:ascii="仿宋" w:hAnsi="仿宋" w:eastAsia="仿宋" w:cs="仿宋"/>
                <w:sz w:val="24"/>
              </w:rPr>
            </w:pPr>
          </w:p>
        </w:tc>
        <w:tc>
          <w:tcPr>
            <w:tcW w:w="1258" w:type="dxa"/>
            <w:vAlign w:val="center"/>
          </w:tcPr>
          <w:p>
            <w:pPr>
              <w:spacing w:line="360" w:lineRule="auto"/>
              <w:jc w:val="center"/>
              <w:textAlignment w:val="baseline"/>
              <w:rPr>
                <w:rFonts w:ascii="仿宋" w:hAnsi="仿宋" w:eastAsia="仿宋" w:cs="仿宋"/>
                <w:sz w:val="24"/>
              </w:rPr>
            </w:pPr>
          </w:p>
        </w:tc>
        <w:tc>
          <w:tcPr>
            <w:tcW w:w="1320" w:type="dxa"/>
            <w:vAlign w:val="center"/>
          </w:tcPr>
          <w:p>
            <w:pPr>
              <w:spacing w:line="360" w:lineRule="auto"/>
              <w:jc w:val="center"/>
              <w:textAlignment w:val="baseline"/>
              <w:rPr>
                <w:rFonts w:ascii="仿宋" w:hAnsi="仿宋" w:eastAsia="仿宋" w:cs="仿宋"/>
                <w:sz w:val="24"/>
              </w:rPr>
            </w:pPr>
          </w:p>
        </w:tc>
        <w:tc>
          <w:tcPr>
            <w:tcW w:w="2105" w:type="dxa"/>
            <w:vAlign w:val="center"/>
          </w:tcPr>
          <w:p>
            <w:pPr>
              <w:spacing w:line="360" w:lineRule="auto"/>
              <w:jc w:val="center"/>
              <w:textAlignment w:val="baseline"/>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036" w:type="dxa"/>
            <w:vAlign w:val="center"/>
          </w:tcPr>
          <w:p>
            <w:pPr>
              <w:spacing w:line="360" w:lineRule="auto"/>
              <w:jc w:val="center"/>
              <w:textAlignment w:val="baseline"/>
              <w:rPr>
                <w:rFonts w:ascii="仿宋" w:hAnsi="仿宋" w:eastAsia="仿宋" w:cs="仿宋"/>
                <w:sz w:val="24"/>
              </w:rPr>
            </w:pPr>
          </w:p>
        </w:tc>
        <w:tc>
          <w:tcPr>
            <w:tcW w:w="1801" w:type="dxa"/>
            <w:vAlign w:val="center"/>
          </w:tcPr>
          <w:p>
            <w:pPr>
              <w:spacing w:line="360" w:lineRule="auto"/>
              <w:jc w:val="center"/>
              <w:textAlignment w:val="baseline"/>
              <w:rPr>
                <w:rFonts w:ascii="仿宋" w:hAnsi="仿宋" w:eastAsia="仿宋" w:cs="仿宋"/>
                <w:sz w:val="24"/>
              </w:rPr>
            </w:pPr>
          </w:p>
        </w:tc>
        <w:tc>
          <w:tcPr>
            <w:tcW w:w="1719" w:type="dxa"/>
            <w:vAlign w:val="center"/>
          </w:tcPr>
          <w:p>
            <w:pPr>
              <w:spacing w:line="360" w:lineRule="auto"/>
              <w:jc w:val="center"/>
              <w:textAlignment w:val="baseline"/>
              <w:rPr>
                <w:rFonts w:ascii="仿宋" w:hAnsi="仿宋" w:eastAsia="仿宋" w:cs="仿宋"/>
                <w:sz w:val="24"/>
              </w:rPr>
            </w:pPr>
          </w:p>
        </w:tc>
        <w:tc>
          <w:tcPr>
            <w:tcW w:w="1258" w:type="dxa"/>
            <w:vAlign w:val="center"/>
          </w:tcPr>
          <w:p>
            <w:pPr>
              <w:spacing w:line="360" w:lineRule="auto"/>
              <w:jc w:val="center"/>
              <w:textAlignment w:val="baseline"/>
              <w:rPr>
                <w:rFonts w:ascii="仿宋" w:hAnsi="仿宋" w:eastAsia="仿宋" w:cs="仿宋"/>
                <w:sz w:val="24"/>
              </w:rPr>
            </w:pPr>
          </w:p>
        </w:tc>
        <w:tc>
          <w:tcPr>
            <w:tcW w:w="1320" w:type="dxa"/>
            <w:vAlign w:val="center"/>
          </w:tcPr>
          <w:p>
            <w:pPr>
              <w:spacing w:line="360" w:lineRule="auto"/>
              <w:jc w:val="center"/>
              <w:textAlignment w:val="baseline"/>
              <w:rPr>
                <w:rFonts w:ascii="仿宋" w:hAnsi="仿宋" w:eastAsia="仿宋" w:cs="仿宋"/>
                <w:sz w:val="24"/>
              </w:rPr>
            </w:pPr>
          </w:p>
        </w:tc>
        <w:tc>
          <w:tcPr>
            <w:tcW w:w="2105" w:type="dxa"/>
            <w:vAlign w:val="center"/>
          </w:tcPr>
          <w:p>
            <w:pPr>
              <w:spacing w:line="360" w:lineRule="auto"/>
              <w:jc w:val="center"/>
              <w:textAlignment w:val="baseline"/>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036" w:type="dxa"/>
            <w:vAlign w:val="center"/>
          </w:tcPr>
          <w:p>
            <w:pPr>
              <w:spacing w:line="360" w:lineRule="auto"/>
              <w:jc w:val="center"/>
              <w:textAlignment w:val="baseline"/>
              <w:rPr>
                <w:rFonts w:ascii="仿宋" w:hAnsi="仿宋" w:eastAsia="仿宋" w:cs="仿宋"/>
                <w:sz w:val="24"/>
              </w:rPr>
            </w:pPr>
          </w:p>
        </w:tc>
        <w:tc>
          <w:tcPr>
            <w:tcW w:w="1801" w:type="dxa"/>
            <w:vAlign w:val="center"/>
          </w:tcPr>
          <w:p>
            <w:pPr>
              <w:spacing w:line="360" w:lineRule="auto"/>
              <w:jc w:val="center"/>
              <w:textAlignment w:val="baseline"/>
              <w:rPr>
                <w:rFonts w:ascii="仿宋" w:hAnsi="仿宋" w:eastAsia="仿宋" w:cs="仿宋"/>
                <w:sz w:val="24"/>
              </w:rPr>
            </w:pPr>
          </w:p>
        </w:tc>
        <w:tc>
          <w:tcPr>
            <w:tcW w:w="1719" w:type="dxa"/>
            <w:vAlign w:val="center"/>
          </w:tcPr>
          <w:p>
            <w:pPr>
              <w:spacing w:line="360" w:lineRule="auto"/>
              <w:jc w:val="center"/>
              <w:textAlignment w:val="baseline"/>
              <w:rPr>
                <w:rFonts w:ascii="仿宋" w:hAnsi="仿宋" w:eastAsia="仿宋" w:cs="仿宋"/>
                <w:sz w:val="24"/>
              </w:rPr>
            </w:pPr>
          </w:p>
        </w:tc>
        <w:tc>
          <w:tcPr>
            <w:tcW w:w="1258" w:type="dxa"/>
            <w:vAlign w:val="center"/>
          </w:tcPr>
          <w:p>
            <w:pPr>
              <w:spacing w:line="360" w:lineRule="auto"/>
              <w:jc w:val="center"/>
              <w:textAlignment w:val="baseline"/>
              <w:rPr>
                <w:rFonts w:ascii="仿宋" w:hAnsi="仿宋" w:eastAsia="仿宋" w:cs="仿宋"/>
                <w:sz w:val="24"/>
              </w:rPr>
            </w:pPr>
          </w:p>
        </w:tc>
        <w:tc>
          <w:tcPr>
            <w:tcW w:w="1320" w:type="dxa"/>
            <w:vAlign w:val="center"/>
          </w:tcPr>
          <w:p>
            <w:pPr>
              <w:spacing w:line="360" w:lineRule="auto"/>
              <w:jc w:val="center"/>
              <w:textAlignment w:val="baseline"/>
              <w:rPr>
                <w:rFonts w:ascii="仿宋" w:hAnsi="仿宋" w:eastAsia="仿宋" w:cs="仿宋"/>
                <w:sz w:val="24"/>
              </w:rPr>
            </w:pPr>
          </w:p>
        </w:tc>
        <w:tc>
          <w:tcPr>
            <w:tcW w:w="2105" w:type="dxa"/>
            <w:vAlign w:val="center"/>
          </w:tcPr>
          <w:p>
            <w:pPr>
              <w:spacing w:line="360" w:lineRule="auto"/>
              <w:jc w:val="center"/>
              <w:textAlignment w:val="baseline"/>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036" w:type="dxa"/>
            <w:vAlign w:val="center"/>
          </w:tcPr>
          <w:p>
            <w:pPr>
              <w:spacing w:line="360" w:lineRule="auto"/>
              <w:jc w:val="center"/>
              <w:textAlignment w:val="baseline"/>
              <w:rPr>
                <w:rFonts w:ascii="仿宋" w:hAnsi="仿宋" w:eastAsia="仿宋" w:cs="仿宋"/>
                <w:sz w:val="24"/>
              </w:rPr>
            </w:pPr>
          </w:p>
        </w:tc>
        <w:tc>
          <w:tcPr>
            <w:tcW w:w="1801" w:type="dxa"/>
            <w:vAlign w:val="center"/>
          </w:tcPr>
          <w:p>
            <w:pPr>
              <w:spacing w:line="360" w:lineRule="auto"/>
              <w:jc w:val="center"/>
              <w:textAlignment w:val="baseline"/>
              <w:rPr>
                <w:rFonts w:ascii="仿宋" w:hAnsi="仿宋" w:eastAsia="仿宋" w:cs="仿宋"/>
                <w:sz w:val="24"/>
              </w:rPr>
            </w:pPr>
          </w:p>
        </w:tc>
        <w:tc>
          <w:tcPr>
            <w:tcW w:w="1719" w:type="dxa"/>
            <w:vAlign w:val="center"/>
          </w:tcPr>
          <w:p>
            <w:pPr>
              <w:spacing w:line="360" w:lineRule="auto"/>
              <w:jc w:val="center"/>
              <w:textAlignment w:val="baseline"/>
              <w:rPr>
                <w:rFonts w:ascii="仿宋" w:hAnsi="仿宋" w:eastAsia="仿宋" w:cs="仿宋"/>
                <w:sz w:val="24"/>
              </w:rPr>
            </w:pPr>
          </w:p>
        </w:tc>
        <w:tc>
          <w:tcPr>
            <w:tcW w:w="1258" w:type="dxa"/>
            <w:vAlign w:val="center"/>
          </w:tcPr>
          <w:p>
            <w:pPr>
              <w:spacing w:line="360" w:lineRule="auto"/>
              <w:jc w:val="center"/>
              <w:textAlignment w:val="baseline"/>
              <w:rPr>
                <w:rFonts w:ascii="仿宋" w:hAnsi="仿宋" w:eastAsia="仿宋" w:cs="仿宋"/>
                <w:sz w:val="24"/>
              </w:rPr>
            </w:pPr>
          </w:p>
        </w:tc>
        <w:tc>
          <w:tcPr>
            <w:tcW w:w="1320" w:type="dxa"/>
            <w:vAlign w:val="center"/>
          </w:tcPr>
          <w:p>
            <w:pPr>
              <w:spacing w:line="360" w:lineRule="auto"/>
              <w:jc w:val="center"/>
              <w:textAlignment w:val="baseline"/>
              <w:rPr>
                <w:rFonts w:ascii="仿宋" w:hAnsi="仿宋" w:eastAsia="仿宋" w:cs="仿宋"/>
                <w:sz w:val="24"/>
              </w:rPr>
            </w:pPr>
          </w:p>
        </w:tc>
        <w:tc>
          <w:tcPr>
            <w:tcW w:w="2105" w:type="dxa"/>
            <w:vAlign w:val="center"/>
          </w:tcPr>
          <w:p>
            <w:pPr>
              <w:spacing w:line="360" w:lineRule="auto"/>
              <w:jc w:val="center"/>
              <w:textAlignment w:val="baseline"/>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036" w:type="dxa"/>
            <w:vAlign w:val="center"/>
          </w:tcPr>
          <w:p>
            <w:pPr>
              <w:spacing w:line="360" w:lineRule="auto"/>
              <w:jc w:val="center"/>
              <w:textAlignment w:val="baseline"/>
              <w:rPr>
                <w:rFonts w:ascii="仿宋" w:hAnsi="仿宋" w:eastAsia="仿宋" w:cs="仿宋"/>
                <w:sz w:val="24"/>
              </w:rPr>
            </w:pPr>
          </w:p>
        </w:tc>
        <w:tc>
          <w:tcPr>
            <w:tcW w:w="1801" w:type="dxa"/>
            <w:vAlign w:val="center"/>
          </w:tcPr>
          <w:p>
            <w:pPr>
              <w:spacing w:line="360" w:lineRule="auto"/>
              <w:jc w:val="center"/>
              <w:textAlignment w:val="baseline"/>
              <w:rPr>
                <w:rFonts w:ascii="仿宋" w:hAnsi="仿宋" w:eastAsia="仿宋" w:cs="仿宋"/>
                <w:sz w:val="24"/>
              </w:rPr>
            </w:pPr>
          </w:p>
        </w:tc>
        <w:tc>
          <w:tcPr>
            <w:tcW w:w="1719" w:type="dxa"/>
            <w:vAlign w:val="center"/>
          </w:tcPr>
          <w:p>
            <w:pPr>
              <w:spacing w:line="360" w:lineRule="auto"/>
              <w:jc w:val="center"/>
              <w:textAlignment w:val="baseline"/>
              <w:rPr>
                <w:rFonts w:ascii="仿宋" w:hAnsi="仿宋" w:eastAsia="仿宋" w:cs="仿宋"/>
                <w:sz w:val="24"/>
              </w:rPr>
            </w:pPr>
          </w:p>
        </w:tc>
        <w:tc>
          <w:tcPr>
            <w:tcW w:w="1258" w:type="dxa"/>
            <w:vAlign w:val="center"/>
          </w:tcPr>
          <w:p>
            <w:pPr>
              <w:spacing w:line="360" w:lineRule="auto"/>
              <w:jc w:val="center"/>
              <w:textAlignment w:val="baseline"/>
              <w:rPr>
                <w:rFonts w:ascii="仿宋" w:hAnsi="仿宋" w:eastAsia="仿宋" w:cs="仿宋"/>
                <w:sz w:val="24"/>
              </w:rPr>
            </w:pPr>
          </w:p>
        </w:tc>
        <w:tc>
          <w:tcPr>
            <w:tcW w:w="1320" w:type="dxa"/>
            <w:vAlign w:val="center"/>
          </w:tcPr>
          <w:p>
            <w:pPr>
              <w:spacing w:line="360" w:lineRule="auto"/>
              <w:jc w:val="center"/>
              <w:textAlignment w:val="baseline"/>
              <w:rPr>
                <w:rFonts w:ascii="仿宋" w:hAnsi="仿宋" w:eastAsia="仿宋" w:cs="仿宋"/>
                <w:sz w:val="24"/>
              </w:rPr>
            </w:pPr>
          </w:p>
        </w:tc>
        <w:tc>
          <w:tcPr>
            <w:tcW w:w="2105" w:type="dxa"/>
            <w:vAlign w:val="center"/>
          </w:tcPr>
          <w:p>
            <w:pPr>
              <w:spacing w:line="360" w:lineRule="auto"/>
              <w:jc w:val="center"/>
              <w:textAlignment w:val="baseline"/>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9239" w:type="dxa"/>
            <w:gridSpan w:val="6"/>
            <w:vAlign w:val="center"/>
          </w:tcPr>
          <w:p>
            <w:pPr>
              <w:spacing w:line="360" w:lineRule="auto"/>
              <w:jc w:val="left"/>
              <w:textAlignment w:val="baseline"/>
              <w:rPr>
                <w:rFonts w:ascii="仿宋" w:hAnsi="仿宋" w:eastAsia="仿宋" w:cs="仿宋"/>
                <w:b/>
                <w:bCs/>
                <w:kern w:val="0"/>
                <w:sz w:val="24"/>
                <w:szCs w:val="24"/>
              </w:rPr>
            </w:pPr>
            <w:r>
              <w:rPr>
                <w:rFonts w:hint="eastAsia" w:ascii="仿宋" w:hAnsi="仿宋" w:eastAsia="仿宋" w:cs="仿宋"/>
                <w:b/>
                <w:bCs/>
                <w:kern w:val="0"/>
                <w:sz w:val="24"/>
                <w:szCs w:val="24"/>
              </w:rPr>
              <w:t>磋商报价总计（小写）：</w:t>
            </w:r>
          </w:p>
          <w:p>
            <w:pPr>
              <w:pStyle w:val="7"/>
              <w:ind w:firstLine="1440" w:firstLineChars="600"/>
              <w:textAlignment w:val="baseline"/>
              <w:rPr>
                <w:rFonts w:ascii="仿宋" w:hAnsi="仿宋" w:eastAsia="仿宋" w:cs="仿宋"/>
              </w:rPr>
            </w:pPr>
            <w:r>
              <w:rPr>
                <w:rFonts w:hint="eastAsia" w:ascii="仿宋" w:hAnsi="仿宋" w:eastAsia="仿宋" w:cs="仿宋"/>
                <w:sz w:val="24"/>
                <w:szCs w:val="24"/>
              </w:rPr>
              <w:t>（大写）：</w:t>
            </w:r>
          </w:p>
        </w:tc>
      </w:tr>
    </w:tbl>
    <w:p>
      <w:pPr>
        <w:pStyle w:val="30"/>
        <w:ind w:firstLine="0" w:firstLineChars="0"/>
        <w:textAlignment w:val="baseline"/>
        <w:rPr>
          <w:rFonts w:ascii="仿宋" w:hAnsi="仿宋" w:eastAsia="仿宋" w:cs="仿宋"/>
          <w:sz w:val="24"/>
        </w:rPr>
      </w:pPr>
    </w:p>
    <w:p>
      <w:pPr>
        <w:textAlignment w:val="baseline"/>
        <w:rPr>
          <w:rFonts w:ascii="仿宋" w:hAnsi="仿宋" w:eastAsia="仿宋" w:cs="仿宋"/>
          <w:sz w:val="24"/>
        </w:rPr>
      </w:pPr>
    </w:p>
    <w:p>
      <w:pPr>
        <w:spacing w:line="360" w:lineRule="auto"/>
        <w:textAlignment w:val="baseline"/>
        <w:rPr>
          <w:rFonts w:ascii="仿宋" w:hAnsi="仿宋" w:eastAsia="仿宋" w:cs="仿宋"/>
          <w:sz w:val="24"/>
          <w:u w:val="single"/>
        </w:rPr>
      </w:pPr>
      <w:r>
        <w:rPr>
          <w:rFonts w:hint="eastAsia" w:ascii="仿宋" w:hAnsi="仿宋" w:eastAsia="仿宋" w:cs="仿宋"/>
          <w:sz w:val="24"/>
        </w:rPr>
        <w:t>供应商全称（盖章）：</w:t>
      </w:r>
    </w:p>
    <w:p>
      <w:pPr>
        <w:spacing w:line="360" w:lineRule="auto"/>
        <w:textAlignment w:val="baseline"/>
        <w:rPr>
          <w:rFonts w:ascii="仿宋" w:hAnsi="仿宋" w:eastAsia="仿宋" w:cs="仿宋"/>
          <w:sz w:val="24"/>
        </w:rPr>
      </w:pPr>
      <w:r>
        <w:rPr>
          <w:rFonts w:hint="eastAsia" w:ascii="仿宋" w:hAnsi="仿宋" w:eastAsia="仿宋" w:cs="仿宋"/>
          <w:sz w:val="24"/>
        </w:rPr>
        <w:t xml:space="preserve">法定代表人或者授权代表（签字或盖章）：                 </w:t>
      </w:r>
    </w:p>
    <w:p>
      <w:pPr>
        <w:spacing w:line="360" w:lineRule="auto"/>
        <w:jc w:val="right"/>
        <w:textAlignment w:val="baseline"/>
        <w:rPr>
          <w:rFonts w:ascii="仿宋" w:hAnsi="仿宋" w:eastAsia="仿宋" w:cs="仿宋"/>
          <w:sz w:val="24"/>
        </w:rPr>
      </w:pPr>
      <w:r>
        <w:rPr>
          <w:rFonts w:hint="eastAsia" w:ascii="仿宋" w:hAnsi="仿宋" w:eastAsia="仿宋" w:cs="仿宋"/>
          <w:sz w:val="24"/>
        </w:rPr>
        <w:t>日期：    年   月    日</w:t>
      </w:r>
    </w:p>
    <w:p>
      <w:pPr>
        <w:spacing w:line="360" w:lineRule="auto"/>
        <w:textAlignment w:val="baseline"/>
        <w:rPr>
          <w:rFonts w:ascii="仿宋" w:hAnsi="仿宋" w:eastAsia="仿宋" w:cs="仿宋"/>
          <w:b/>
          <w:sz w:val="24"/>
        </w:rPr>
      </w:pPr>
      <w:r>
        <w:rPr>
          <w:rFonts w:hint="eastAsia" w:ascii="仿宋" w:hAnsi="仿宋" w:eastAsia="仿宋" w:cs="仿宋"/>
          <w:b/>
          <w:sz w:val="24"/>
        </w:rPr>
        <w:t>价格构成或报价要求：</w:t>
      </w:r>
    </w:p>
    <w:p>
      <w:pPr>
        <w:spacing w:line="360" w:lineRule="auto"/>
        <w:textAlignment w:val="baseline"/>
        <w:rPr>
          <w:rFonts w:ascii="仿宋" w:hAnsi="仿宋" w:eastAsia="仿宋" w:cs="仿宋"/>
          <w:sz w:val="24"/>
        </w:rPr>
      </w:pPr>
      <w:r>
        <w:rPr>
          <w:rFonts w:hint="eastAsia" w:ascii="仿宋" w:hAnsi="仿宋" w:eastAsia="仿宋" w:cs="仿宋"/>
          <w:sz w:val="24"/>
        </w:rPr>
        <w:t>1、此表为表样，行数可自行添加，但表式不变；</w:t>
      </w:r>
    </w:p>
    <w:p>
      <w:pPr>
        <w:spacing w:line="360" w:lineRule="auto"/>
        <w:textAlignment w:val="baseline"/>
        <w:rPr>
          <w:rFonts w:ascii="仿宋" w:hAnsi="仿宋" w:eastAsia="仿宋" w:cs="仿宋"/>
          <w:sz w:val="24"/>
        </w:rPr>
      </w:pPr>
      <w:r>
        <w:rPr>
          <w:rFonts w:hint="eastAsia" w:ascii="仿宋" w:hAnsi="仿宋" w:eastAsia="仿宋" w:cs="仿宋"/>
          <w:sz w:val="24"/>
        </w:rPr>
        <w:t>2、相关调换费用、质保后续服务及其他所有费用由磋商人自行计算填列；</w:t>
      </w:r>
    </w:p>
    <w:p>
      <w:pPr>
        <w:pStyle w:val="30"/>
        <w:spacing w:line="360" w:lineRule="auto"/>
        <w:ind w:firstLine="0" w:firstLineChars="0"/>
        <w:textAlignment w:val="baseline"/>
        <w:rPr>
          <w:rFonts w:ascii="仿宋" w:hAnsi="仿宋" w:eastAsia="仿宋" w:cs="仿宋"/>
          <w:sz w:val="24"/>
        </w:rPr>
      </w:pPr>
      <w:r>
        <w:rPr>
          <w:rFonts w:hint="eastAsia" w:ascii="仿宋" w:hAnsi="仿宋" w:eastAsia="仿宋" w:cs="仿宋"/>
          <w:sz w:val="24"/>
        </w:rPr>
        <w:t>3、上表中的“磋商报价总计”应当等于“报价一览表”中“磋商报价总计”。</w:t>
      </w:r>
    </w:p>
    <w:p>
      <w:pPr>
        <w:textAlignment w:val="baseline"/>
        <w:rPr>
          <w:rFonts w:ascii="仿宋" w:hAnsi="仿宋" w:eastAsia="仿宋" w:cs="仿宋"/>
          <w:sz w:val="24"/>
        </w:rPr>
      </w:pPr>
    </w:p>
    <w:p>
      <w:pPr>
        <w:pStyle w:val="30"/>
        <w:ind w:firstLine="480"/>
        <w:textAlignment w:val="baseline"/>
        <w:rPr>
          <w:rFonts w:ascii="仿宋" w:hAnsi="仿宋" w:eastAsia="仿宋" w:cs="仿宋"/>
          <w:sz w:val="24"/>
        </w:rPr>
      </w:pPr>
    </w:p>
    <w:p>
      <w:pPr>
        <w:textAlignment w:val="baseline"/>
        <w:rPr>
          <w:rFonts w:ascii="仿宋" w:hAnsi="仿宋" w:eastAsia="仿宋" w:cs="仿宋"/>
          <w:sz w:val="24"/>
        </w:rPr>
      </w:pPr>
    </w:p>
    <w:p>
      <w:pPr>
        <w:pStyle w:val="30"/>
        <w:ind w:firstLine="480"/>
        <w:textAlignment w:val="baseline"/>
        <w:rPr>
          <w:rFonts w:ascii="仿宋" w:hAnsi="仿宋" w:eastAsia="仿宋" w:cs="仿宋"/>
          <w:sz w:val="24"/>
        </w:rPr>
      </w:pPr>
    </w:p>
    <w:p>
      <w:pPr>
        <w:textAlignment w:val="baseline"/>
        <w:rPr>
          <w:rFonts w:ascii="仿宋" w:hAnsi="仿宋" w:eastAsia="仿宋" w:cs="仿宋"/>
          <w:sz w:val="24"/>
        </w:rPr>
      </w:pPr>
    </w:p>
    <w:p>
      <w:pPr>
        <w:pStyle w:val="30"/>
        <w:ind w:firstLine="480"/>
        <w:textAlignment w:val="baseline"/>
        <w:rPr>
          <w:rFonts w:ascii="仿宋" w:hAnsi="仿宋" w:eastAsia="仿宋" w:cs="仿宋"/>
          <w:sz w:val="24"/>
        </w:rPr>
      </w:pPr>
    </w:p>
    <w:p>
      <w:pPr>
        <w:textAlignment w:val="baseline"/>
        <w:rPr>
          <w:rFonts w:ascii="仿宋" w:hAnsi="仿宋" w:eastAsia="仿宋" w:cs="仿宋"/>
          <w:sz w:val="24"/>
        </w:rPr>
      </w:pPr>
    </w:p>
    <w:p>
      <w:pPr>
        <w:pStyle w:val="45"/>
        <w:pageBreakBefore/>
        <w:numPr>
          <w:ilvl w:val="0"/>
          <w:numId w:val="9"/>
        </w:numPr>
        <w:spacing w:line="360" w:lineRule="auto"/>
        <w:ind w:left="0"/>
        <w:jc w:val="center"/>
        <w:textAlignment w:val="baseline"/>
        <w:rPr>
          <w:rFonts w:ascii="仿宋" w:hAnsi="仿宋" w:eastAsia="仿宋" w:cs="仿宋"/>
          <w:color w:val="000000"/>
          <w:sz w:val="32"/>
          <w:szCs w:val="32"/>
        </w:rPr>
      </w:pPr>
      <w:bookmarkStart w:id="161" w:name="_Toc30778"/>
      <w:bookmarkStart w:id="162" w:name="_Toc5653"/>
      <w:bookmarkStart w:id="163" w:name="_Toc6298"/>
      <w:bookmarkStart w:id="164" w:name="_Toc25170488"/>
      <w:bookmarkStart w:id="165" w:name="_Toc9513"/>
      <w:r>
        <w:rPr>
          <w:rFonts w:hint="eastAsia" w:ascii="仿宋" w:hAnsi="仿宋" w:eastAsia="仿宋" w:cs="仿宋"/>
          <w:color w:val="000000"/>
          <w:sz w:val="32"/>
          <w:szCs w:val="32"/>
        </w:rPr>
        <w:t>商务要求响应表</w:t>
      </w:r>
      <w:bookmarkEnd w:id="161"/>
      <w:bookmarkEnd w:id="162"/>
      <w:bookmarkEnd w:id="163"/>
      <w:bookmarkEnd w:id="164"/>
      <w:bookmarkEnd w:id="165"/>
    </w:p>
    <w:p>
      <w:pPr>
        <w:textAlignment w:val="baseline"/>
        <w:rPr>
          <w:rFonts w:ascii="仿宋" w:hAnsi="仿宋" w:eastAsia="仿宋" w:cs="仿宋"/>
          <w:sz w:val="20"/>
        </w:rPr>
      </w:pPr>
    </w:p>
    <w:tbl>
      <w:tblPr>
        <w:tblStyle w:val="31"/>
        <w:tblW w:w="1023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97"/>
        <w:gridCol w:w="1688"/>
        <w:gridCol w:w="4452"/>
        <w:gridCol w:w="1600"/>
        <w:gridCol w:w="180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3"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r>
              <w:rPr>
                <w:rFonts w:hint="eastAsia" w:ascii="仿宋" w:hAnsi="仿宋" w:eastAsia="仿宋" w:cs="仿宋"/>
                <w:color w:val="000000"/>
                <w:sz w:val="22"/>
                <w:szCs w:val="22"/>
              </w:rPr>
              <w:t>序号</w:t>
            </w:r>
          </w:p>
        </w:tc>
        <w:tc>
          <w:tcPr>
            <w:tcW w:w="168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商务要求条目</w:t>
            </w:r>
          </w:p>
        </w:tc>
        <w:tc>
          <w:tcPr>
            <w:tcW w:w="445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磋商文件中的</w:t>
            </w:r>
          </w:p>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商务要求</w:t>
            </w:r>
          </w:p>
        </w:tc>
        <w:tc>
          <w:tcPr>
            <w:tcW w:w="16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响应供应商的承诺或说明</w:t>
            </w:r>
          </w:p>
        </w:tc>
        <w:tc>
          <w:tcPr>
            <w:tcW w:w="18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偏离情况（正偏离+/无偏离=/负偏离-）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7"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1</w:t>
            </w:r>
          </w:p>
        </w:tc>
        <w:tc>
          <w:tcPr>
            <w:tcW w:w="168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c>
          <w:tcPr>
            <w:tcW w:w="445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2</w:t>
            </w:r>
          </w:p>
        </w:tc>
        <w:tc>
          <w:tcPr>
            <w:tcW w:w="168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c>
          <w:tcPr>
            <w:tcW w:w="445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3</w:t>
            </w:r>
          </w:p>
        </w:tc>
        <w:tc>
          <w:tcPr>
            <w:tcW w:w="168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c>
          <w:tcPr>
            <w:tcW w:w="445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4</w:t>
            </w:r>
          </w:p>
        </w:tc>
        <w:tc>
          <w:tcPr>
            <w:tcW w:w="168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c>
          <w:tcPr>
            <w:tcW w:w="445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6"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5</w:t>
            </w:r>
          </w:p>
        </w:tc>
        <w:tc>
          <w:tcPr>
            <w:tcW w:w="168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c>
          <w:tcPr>
            <w:tcW w:w="445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6</w:t>
            </w:r>
          </w:p>
        </w:tc>
        <w:tc>
          <w:tcPr>
            <w:tcW w:w="168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c>
          <w:tcPr>
            <w:tcW w:w="445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ascii="仿宋" w:hAnsi="仿宋" w:eastAsia="仿宋" w:cs="仿宋"/>
                <w:color w:val="000000"/>
                <w:sz w:val="22"/>
                <w:szCs w:val="22"/>
              </w:rPr>
            </w:pPr>
          </w:p>
        </w:tc>
        <w:tc>
          <w:tcPr>
            <w:tcW w:w="168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c>
          <w:tcPr>
            <w:tcW w:w="445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c>
          <w:tcPr>
            <w:tcW w:w="168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c>
          <w:tcPr>
            <w:tcW w:w="445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c>
          <w:tcPr>
            <w:tcW w:w="16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textAlignment w:val="center"/>
              <w:rPr>
                <w:rFonts w:ascii="仿宋" w:hAnsi="仿宋" w:eastAsia="仿宋" w:cs="仿宋"/>
                <w:color w:val="000000"/>
                <w:sz w:val="22"/>
                <w:szCs w:val="22"/>
              </w:rPr>
            </w:pPr>
          </w:p>
        </w:tc>
      </w:tr>
    </w:tbl>
    <w:p>
      <w:pPr>
        <w:tabs>
          <w:tab w:val="left" w:pos="142"/>
        </w:tabs>
        <w:spacing w:line="360" w:lineRule="auto"/>
        <w:ind w:firstLine="480" w:firstLineChars="200"/>
        <w:jc w:val="left"/>
        <w:textAlignment w:val="baseline"/>
        <w:rPr>
          <w:rFonts w:ascii="仿宋" w:hAnsi="仿宋" w:eastAsia="仿宋" w:cs="仿宋"/>
          <w:sz w:val="24"/>
          <w:szCs w:val="24"/>
        </w:rPr>
      </w:pPr>
      <w:r>
        <w:rPr>
          <w:rFonts w:hint="eastAsia" w:ascii="仿宋" w:hAnsi="仿宋" w:eastAsia="仿宋" w:cs="仿宋"/>
          <w:sz w:val="24"/>
          <w:szCs w:val="24"/>
        </w:rPr>
        <w:t>供应商名称（加盖公章）：</w:t>
      </w:r>
    </w:p>
    <w:p>
      <w:pPr>
        <w:tabs>
          <w:tab w:val="left" w:pos="142"/>
        </w:tabs>
        <w:spacing w:line="360" w:lineRule="auto"/>
        <w:ind w:firstLine="480" w:firstLineChars="200"/>
        <w:jc w:val="left"/>
        <w:textAlignment w:val="baseline"/>
        <w:rPr>
          <w:rFonts w:ascii="仿宋" w:hAnsi="仿宋" w:eastAsia="仿宋" w:cs="仿宋"/>
          <w:sz w:val="24"/>
          <w:szCs w:val="24"/>
        </w:rPr>
      </w:pPr>
      <w:r>
        <w:rPr>
          <w:rFonts w:hint="eastAsia" w:ascii="仿宋" w:hAnsi="仿宋" w:eastAsia="仿宋" w:cs="仿宋"/>
          <w:sz w:val="24"/>
          <w:szCs w:val="24"/>
        </w:rPr>
        <w:t>法定代表人（授权代表）签章：</w:t>
      </w:r>
    </w:p>
    <w:p>
      <w:pPr>
        <w:tabs>
          <w:tab w:val="left" w:pos="142"/>
        </w:tabs>
        <w:spacing w:line="360" w:lineRule="auto"/>
        <w:ind w:firstLine="480" w:firstLineChars="200"/>
        <w:jc w:val="left"/>
        <w:textAlignment w:val="baseline"/>
        <w:rPr>
          <w:rFonts w:ascii="仿宋" w:hAnsi="仿宋" w:eastAsia="仿宋" w:cs="仿宋"/>
          <w:sz w:val="24"/>
          <w:szCs w:val="24"/>
        </w:rPr>
      </w:pPr>
      <w:r>
        <w:rPr>
          <w:rFonts w:hint="eastAsia" w:ascii="仿宋" w:hAnsi="仿宋" w:eastAsia="仿宋" w:cs="仿宋"/>
          <w:sz w:val="24"/>
          <w:szCs w:val="24"/>
        </w:rPr>
        <w:t>日期：</w:t>
      </w:r>
    </w:p>
    <w:p>
      <w:pPr>
        <w:tabs>
          <w:tab w:val="left" w:pos="142"/>
        </w:tabs>
        <w:spacing w:line="360" w:lineRule="auto"/>
        <w:ind w:firstLine="480" w:firstLineChars="200"/>
        <w:jc w:val="left"/>
        <w:textAlignment w:val="baseline"/>
        <w:rPr>
          <w:rFonts w:ascii="仿宋" w:hAnsi="仿宋" w:eastAsia="仿宋" w:cs="仿宋"/>
          <w:sz w:val="24"/>
          <w:szCs w:val="24"/>
        </w:rPr>
      </w:pPr>
    </w:p>
    <w:p>
      <w:pPr>
        <w:spacing w:line="360" w:lineRule="auto"/>
        <w:textAlignment w:val="baseline"/>
        <w:rPr>
          <w:rFonts w:ascii="仿宋" w:hAnsi="仿宋" w:eastAsia="仿宋" w:cs="仿宋"/>
          <w:sz w:val="24"/>
        </w:rPr>
      </w:pPr>
      <w:r>
        <w:rPr>
          <w:rFonts w:hint="eastAsia" w:ascii="仿宋" w:hAnsi="仿宋" w:eastAsia="仿宋" w:cs="仿宋"/>
          <w:sz w:val="24"/>
        </w:rPr>
        <w:t>填写说明：</w:t>
      </w:r>
    </w:p>
    <w:p>
      <w:pPr>
        <w:spacing w:line="360" w:lineRule="auto"/>
        <w:textAlignment w:val="baseline"/>
        <w:rPr>
          <w:rFonts w:ascii="仿宋" w:hAnsi="仿宋" w:eastAsia="仿宋" w:cs="仿宋"/>
          <w:sz w:val="24"/>
        </w:rPr>
      </w:pPr>
      <w:r>
        <w:rPr>
          <w:rFonts w:hint="eastAsia" w:ascii="仿宋" w:hAnsi="仿宋" w:eastAsia="仿宋" w:cs="仿宋"/>
          <w:sz w:val="24"/>
        </w:rPr>
        <w:fldChar w:fldCharType="begin"/>
      </w:r>
      <w:r>
        <w:rPr>
          <w:rFonts w:hint="eastAsia" w:ascii="仿宋" w:hAnsi="仿宋" w:eastAsia="仿宋" w:cs="仿宋"/>
          <w:sz w:val="24"/>
        </w:rPr>
        <w:instrText xml:space="preserve">= 1 \* GB3</w:instrText>
      </w:r>
      <w:r>
        <w:rPr>
          <w:rFonts w:hint="eastAsia" w:ascii="仿宋" w:hAnsi="仿宋" w:eastAsia="仿宋" w:cs="仿宋"/>
          <w:sz w:val="24"/>
        </w:rPr>
        <w:fldChar w:fldCharType="separate"/>
      </w:r>
      <w:r>
        <w:rPr>
          <w:rFonts w:hint="eastAsia" w:ascii="仿宋" w:hAnsi="仿宋" w:eastAsia="仿宋" w:cs="仿宋"/>
          <w:sz w:val="24"/>
        </w:rPr>
        <w:t>①</w:t>
      </w:r>
      <w:r>
        <w:rPr>
          <w:rFonts w:hint="eastAsia" w:ascii="仿宋" w:hAnsi="仿宋" w:eastAsia="仿宋" w:cs="仿宋"/>
          <w:sz w:val="24"/>
        </w:rPr>
        <w:fldChar w:fldCharType="end"/>
      </w:r>
      <w:r>
        <w:rPr>
          <w:rFonts w:hint="eastAsia" w:ascii="仿宋" w:hAnsi="仿宋" w:eastAsia="仿宋" w:cs="仿宋"/>
          <w:sz w:val="24"/>
        </w:rPr>
        <w:t>此表为表样，行数可自行添加，但表式不变。</w:t>
      </w:r>
    </w:p>
    <w:p>
      <w:pPr>
        <w:spacing w:line="360" w:lineRule="auto"/>
        <w:textAlignment w:val="baseline"/>
        <w:rPr>
          <w:rFonts w:ascii="仿宋" w:hAnsi="仿宋" w:eastAsia="仿宋" w:cs="仿宋"/>
          <w:sz w:val="24"/>
        </w:rPr>
      </w:pPr>
      <w:r>
        <w:rPr>
          <w:rFonts w:hint="eastAsia" w:ascii="仿宋" w:hAnsi="仿宋" w:eastAsia="仿宋" w:cs="仿宋"/>
          <w:sz w:val="24"/>
        </w:rPr>
        <w:fldChar w:fldCharType="begin"/>
      </w:r>
      <w:r>
        <w:rPr>
          <w:rFonts w:hint="eastAsia" w:ascii="仿宋" w:hAnsi="仿宋" w:eastAsia="仿宋" w:cs="仿宋"/>
          <w:sz w:val="24"/>
        </w:rPr>
        <w:instrText xml:space="preserve">= 2 \* GB3</w:instrText>
      </w:r>
      <w:r>
        <w:rPr>
          <w:rFonts w:hint="eastAsia" w:ascii="仿宋" w:hAnsi="仿宋" w:eastAsia="仿宋" w:cs="仿宋"/>
          <w:sz w:val="24"/>
        </w:rPr>
        <w:fldChar w:fldCharType="separate"/>
      </w:r>
      <w:r>
        <w:rPr>
          <w:rFonts w:hint="eastAsia" w:ascii="仿宋" w:hAnsi="仿宋" w:eastAsia="仿宋" w:cs="仿宋"/>
          <w:sz w:val="24"/>
        </w:rPr>
        <w:t>②</w:t>
      </w:r>
      <w:r>
        <w:rPr>
          <w:rFonts w:hint="eastAsia" w:ascii="仿宋" w:hAnsi="仿宋" w:eastAsia="仿宋" w:cs="仿宋"/>
          <w:sz w:val="24"/>
        </w:rPr>
        <w:fldChar w:fldCharType="end"/>
      </w:r>
      <w:r>
        <w:rPr>
          <w:rFonts w:hint="eastAsia" w:ascii="仿宋" w:hAnsi="仿宋" w:eastAsia="仿宋" w:cs="仿宋"/>
          <w:sz w:val="24"/>
        </w:rPr>
        <w:t>是否偏离用符号“+、-”分别表示正偏离、负偏离。</w:t>
      </w:r>
    </w:p>
    <w:p>
      <w:pPr>
        <w:spacing w:line="360" w:lineRule="auto"/>
        <w:textAlignment w:val="baseline"/>
        <w:rPr>
          <w:rFonts w:ascii="仿宋" w:hAnsi="仿宋" w:eastAsia="仿宋" w:cs="仿宋"/>
          <w:sz w:val="24"/>
        </w:rPr>
      </w:pPr>
      <w:r>
        <w:rPr>
          <w:rFonts w:hint="eastAsia" w:ascii="仿宋" w:hAnsi="仿宋" w:eastAsia="仿宋" w:cs="仿宋"/>
          <w:sz w:val="24"/>
        </w:rPr>
        <w:fldChar w:fldCharType="begin"/>
      </w:r>
      <w:r>
        <w:rPr>
          <w:rFonts w:hint="eastAsia" w:ascii="仿宋" w:hAnsi="仿宋" w:eastAsia="仿宋" w:cs="仿宋"/>
          <w:sz w:val="24"/>
        </w:rPr>
        <w:instrText xml:space="preserve">= 3 \* GB3</w:instrText>
      </w:r>
      <w:r>
        <w:rPr>
          <w:rFonts w:hint="eastAsia" w:ascii="仿宋" w:hAnsi="仿宋" w:eastAsia="仿宋" w:cs="仿宋"/>
          <w:sz w:val="24"/>
        </w:rPr>
        <w:fldChar w:fldCharType="separate"/>
      </w:r>
      <w:r>
        <w:rPr>
          <w:rFonts w:hint="eastAsia" w:ascii="仿宋" w:hAnsi="仿宋" w:eastAsia="仿宋" w:cs="仿宋"/>
          <w:sz w:val="24"/>
        </w:rPr>
        <w:t>③</w:t>
      </w:r>
      <w:r>
        <w:rPr>
          <w:rFonts w:hint="eastAsia" w:ascii="仿宋" w:hAnsi="仿宋" w:eastAsia="仿宋" w:cs="仿宋"/>
          <w:sz w:val="24"/>
        </w:rPr>
        <w:fldChar w:fldCharType="end"/>
      </w:r>
      <w:r>
        <w:rPr>
          <w:rFonts w:hint="eastAsia" w:ascii="仿宋" w:hAnsi="仿宋" w:eastAsia="仿宋" w:cs="仿宋"/>
          <w:sz w:val="24"/>
        </w:rPr>
        <w:t>供应商必须仔细阅读本采购文件中所有商务要求，并列入上表，未列入上表的视为完全响应磋商文件要求。</w:t>
      </w:r>
    </w:p>
    <w:p>
      <w:pPr>
        <w:spacing w:line="360" w:lineRule="auto"/>
        <w:textAlignment w:val="baseline"/>
        <w:rPr>
          <w:rFonts w:ascii="仿宋" w:hAnsi="仿宋" w:eastAsia="仿宋" w:cs="仿宋"/>
          <w:sz w:val="24"/>
        </w:rPr>
      </w:pPr>
      <w:r>
        <w:rPr>
          <w:rFonts w:hint="eastAsia" w:ascii="仿宋" w:hAnsi="仿宋" w:eastAsia="仿宋" w:cs="仿宋"/>
          <w:sz w:val="24"/>
        </w:rPr>
        <w:fldChar w:fldCharType="begin"/>
      </w:r>
      <w:r>
        <w:rPr>
          <w:rFonts w:hint="eastAsia" w:ascii="仿宋" w:hAnsi="仿宋" w:eastAsia="仿宋" w:cs="仿宋"/>
          <w:sz w:val="24"/>
        </w:rPr>
        <w:instrText xml:space="preserve">= 4 \* GB3</w:instrText>
      </w:r>
      <w:r>
        <w:rPr>
          <w:rFonts w:hint="eastAsia" w:ascii="仿宋" w:hAnsi="仿宋" w:eastAsia="仿宋" w:cs="仿宋"/>
          <w:sz w:val="24"/>
        </w:rPr>
        <w:fldChar w:fldCharType="separate"/>
      </w:r>
      <w:r>
        <w:rPr>
          <w:rFonts w:hint="eastAsia" w:ascii="仿宋" w:hAnsi="仿宋" w:eastAsia="仿宋" w:cs="仿宋"/>
          <w:sz w:val="24"/>
        </w:rPr>
        <w:t>④</w:t>
      </w:r>
      <w:r>
        <w:rPr>
          <w:rFonts w:hint="eastAsia" w:ascii="仿宋" w:hAnsi="仿宋" w:eastAsia="仿宋" w:cs="仿宋"/>
          <w:sz w:val="24"/>
        </w:rPr>
        <w:fldChar w:fldCharType="end"/>
      </w:r>
      <w:r>
        <w:rPr>
          <w:rFonts w:hint="eastAsia" w:ascii="仿宋" w:hAnsi="仿宋" w:eastAsia="仿宋" w:cs="仿宋"/>
          <w:sz w:val="24"/>
        </w:rPr>
        <w:t>若响应文件中出现与此表表述不一致的，以此表为准。</w:t>
      </w:r>
    </w:p>
    <w:p>
      <w:pPr>
        <w:spacing w:line="360" w:lineRule="auto"/>
        <w:textAlignment w:val="baseline"/>
        <w:rPr>
          <w:rFonts w:ascii="仿宋" w:hAnsi="仿宋" w:eastAsia="仿宋" w:cs="仿宋"/>
          <w:sz w:val="24"/>
        </w:rPr>
      </w:pPr>
    </w:p>
    <w:p>
      <w:pPr>
        <w:spacing w:line="400" w:lineRule="exact"/>
        <w:ind w:firstLine="420" w:firstLineChars="200"/>
        <w:textAlignment w:val="baseline"/>
        <w:rPr>
          <w:rFonts w:ascii="仿宋" w:hAnsi="仿宋" w:eastAsia="仿宋" w:cs="仿宋"/>
          <w:sz w:val="20"/>
        </w:rPr>
      </w:pPr>
      <w:r>
        <w:rPr>
          <w:rFonts w:hint="eastAsia" w:ascii="仿宋" w:hAnsi="仿宋" w:eastAsia="仿宋" w:cs="仿宋"/>
        </w:rPr>
        <w:br w:type="page"/>
      </w:r>
    </w:p>
    <w:p>
      <w:pPr>
        <w:pStyle w:val="45"/>
        <w:pageBreakBefore/>
        <w:numPr>
          <w:ilvl w:val="0"/>
          <w:numId w:val="0"/>
        </w:numPr>
        <w:spacing w:line="360" w:lineRule="auto"/>
        <w:jc w:val="center"/>
        <w:textAlignment w:val="baseline"/>
        <w:rPr>
          <w:rFonts w:ascii="仿宋" w:hAnsi="仿宋" w:eastAsia="仿宋" w:cs="仿宋"/>
          <w:color w:val="000000"/>
          <w:sz w:val="32"/>
          <w:szCs w:val="32"/>
        </w:rPr>
      </w:pPr>
      <w:bookmarkStart w:id="166" w:name="_Toc27224"/>
      <w:bookmarkStart w:id="167" w:name="_Toc23648"/>
      <w:bookmarkStart w:id="168" w:name="_Toc14697"/>
      <w:bookmarkStart w:id="169" w:name="_Toc17110"/>
      <w:bookmarkStart w:id="170" w:name="_Toc5273"/>
      <w:bookmarkStart w:id="171" w:name="_Toc18307"/>
      <w:r>
        <w:rPr>
          <w:rFonts w:hint="eastAsia" w:ascii="仿宋" w:hAnsi="仿宋" w:eastAsia="仿宋" w:cs="仿宋"/>
          <w:color w:val="000000"/>
          <w:sz w:val="32"/>
          <w:szCs w:val="32"/>
        </w:rPr>
        <w:t>五、服务要求响应表</w:t>
      </w:r>
      <w:bookmarkEnd w:id="166"/>
      <w:bookmarkEnd w:id="167"/>
      <w:bookmarkEnd w:id="168"/>
      <w:bookmarkEnd w:id="169"/>
      <w:bookmarkEnd w:id="170"/>
      <w:bookmarkEnd w:id="171"/>
    </w:p>
    <w:p>
      <w:pPr>
        <w:textAlignment w:val="baseline"/>
        <w:rPr>
          <w:rFonts w:ascii="仿宋" w:hAnsi="仿宋" w:eastAsia="仿宋" w:cs="仿宋"/>
          <w:sz w:val="20"/>
        </w:rPr>
      </w:pPr>
    </w:p>
    <w:tbl>
      <w:tblPr>
        <w:tblStyle w:val="31"/>
        <w:tblW w:w="972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68"/>
        <w:gridCol w:w="2551"/>
        <w:gridCol w:w="1985"/>
        <w:gridCol w:w="23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3" w:hRule="atLeast"/>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r>
              <w:rPr>
                <w:rFonts w:hint="eastAsia" w:ascii="仿宋" w:hAnsi="仿宋" w:eastAsia="仿宋" w:cs="仿宋"/>
                <w:sz w:val="22"/>
                <w:szCs w:val="22"/>
              </w:rPr>
              <w:t>序号</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ind w:firstLine="440" w:firstLineChars="200"/>
              <w:jc w:val="left"/>
              <w:textAlignment w:val="center"/>
              <w:rPr>
                <w:rFonts w:ascii="仿宋" w:hAnsi="仿宋" w:eastAsia="仿宋" w:cs="仿宋"/>
                <w:sz w:val="22"/>
                <w:szCs w:val="22"/>
              </w:rPr>
            </w:pPr>
            <w:r>
              <w:rPr>
                <w:rFonts w:hint="eastAsia" w:ascii="仿宋" w:hAnsi="仿宋" w:eastAsia="仿宋" w:cs="仿宋"/>
                <w:sz w:val="22"/>
                <w:szCs w:val="22"/>
              </w:rPr>
              <w:t>服务需求条目</w:t>
            </w: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sz w:val="22"/>
                <w:szCs w:val="22"/>
              </w:rPr>
            </w:pPr>
            <w:r>
              <w:rPr>
                <w:rFonts w:hint="eastAsia" w:ascii="仿宋" w:hAnsi="仿宋" w:eastAsia="仿宋" w:cs="仿宋"/>
                <w:sz w:val="22"/>
                <w:szCs w:val="22"/>
              </w:rPr>
              <w:t>采购文件中的</w:t>
            </w:r>
          </w:p>
          <w:p>
            <w:pPr>
              <w:widowControl/>
              <w:jc w:val="center"/>
              <w:textAlignment w:val="center"/>
              <w:rPr>
                <w:rFonts w:ascii="仿宋" w:hAnsi="仿宋" w:eastAsia="仿宋" w:cs="仿宋"/>
                <w:sz w:val="22"/>
                <w:szCs w:val="22"/>
              </w:rPr>
            </w:pPr>
            <w:r>
              <w:rPr>
                <w:rFonts w:hint="eastAsia" w:ascii="仿宋" w:hAnsi="仿宋" w:eastAsia="仿宋" w:cs="仿宋"/>
                <w:sz w:val="22"/>
                <w:szCs w:val="22"/>
              </w:rPr>
              <w:t>服务要求</w:t>
            </w: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sz w:val="22"/>
                <w:szCs w:val="22"/>
              </w:rPr>
            </w:pPr>
            <w:r>
              <w:rPr>
                <w:rFonts w:hint="eastAsia" w:ascii="仿宋" w:hAnsi="仿宋" w:eastAsia="仿宋" w:cs="仿宋"/>
                <w:sz w:val="22"/>
                <w:szCs w:val="22"/>
              </w:rPr>
              <w:t>供应商</w:t>
            </w:r>
          </w:p>
          <w:p>
            <w:pPr>
              <w:widowControl/>
              <w:jc w:val="center"/>
              <w:textAlignment w:val="center"/>
              <w:rPr>
                <w:rFonts w:ascii="仿宋" w:hAnsi="仿宋" w:eastAsia="仿宋" w:cs="仿宋"/>
                <w:sz w:val="22"/>
                <w:szCs w:val="22"/>
              </w:rPr>
            </w:pPr>
            <w:r>
              <w:rPr>
                <w:rFonts w:hint="eastAsia" w:ascii="仿宋" w:hAnsi="仿宋" w:eastAsia="仿宋" w:cs="仿宋"/>
                <w:sz w:val="22"/>
                <w:szCs w:val="22"/>
              </w:rPr>
              <w:t>的承诺或说明</w:t>
            </w: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sz w:val="24"/>
                <w:szCs w:val="24"/>
              </w:rPr>
              <w:t>偏离情况</w:t>
            </w:r>
          </w:p>
          <w:p>
            <w:pPr>
              <w:widowControl/>
              <w:jc w:val="center"/>
              <w:textAlignment w:val="center"/>
              <w:rPr>
                <w:rFonts w:ascii="仿宋" w:hAnsi="仿宋" w:eastAsia="仿宋" w:cs="仿宋"/>
                <w:sz w:val="22"/>
                <w:szCs w:val="22"/>
              </w:rPr>
            </w:pPr>
            <w:r>
              <w:rPr>
                <w:rFonts w:hint="eastAsia" w:ascii="仿宋" w:hAnsi="仿宋" w:eastAsia="仿宋" w:cs="仿宋"/>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sz w:val="22"/>
                <w:szCs w:val="22"/>
              </w:rPr>
            </w:pPr>
            <w:r>
              <w:rPr>
                <w:rFonts w:hint="eastAsia" w:ascii="仿宋" w:hAnsi="仿宋" w:eastAsia="仿宋" w:cs="仿宋"/>
                <w:sz w:val="22"/>
                <w:szCs w:val="22"/>
              </w:rPr>
              <w:t>1</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sz w:val="22"/>
                <w:szCs w:val="22"/>
              </w:rPr>
            </w:pPr>
            <w:r>
              <w:rPr>
                <w:rFonts w:hint="eastAsia" w:ascii="仿宋" w:hAnsi="仿宋" w:eastAsia="仿宋" w:cs="仿宋"/>
                <w:sz w:val="22"/>
                <w:szCs w:val="22"/>
              </w:rPr>
              <w:t>2</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sz w:val="22"/>
                <w:szCs w:val="22"/>
              </w:rPr>
            </w:pPr>
            <w:r>
              <w:rPr>
                <w:rFonts w:hint="eastAsia" w:ascii="仿宋" w:hAnsi="仿宋" w:eastAsia="仿宋" w:cs="仿宋"/>
                <w:sz w:val="22"/>
                <w:szCs w:val="22"/>
              </w:rPr>
              <w:t>3</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1" w:hRule="atLeast"/>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sz w:val="22"/>
                <w:szCs w:val="22"/>
              </w:rPr>
            </w:pPr>
            <w:r>
              <w:rPr>
                <w:rFonts w:hint="eastAsia" w:ascii="仿宋" w:hAnsi="仿宋" w:eastAsia="仿宋" w:cs="仿宋"/>
                <w:sz w:val="22"/>
                <w:szCs w:val="22"/>
              </w:rPr>
              <w:t>4</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sz w:val="22"/>
                <w:szCs w:val="22"/>
              </w:rPr>
            </w:pPr>
            <w:r>
              <w:rPr>
                <w:rFonts w:hint="eastAsia" w:ascii="仿宋" w:hAnsi="仿宋" w:eastAsia="仿宋" w:cs="仿宋"/>
                <w:sz w:val="22"/>
                <w:szCs w:val="22"/>
              </w:rPr>
              <w:t>5</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sz w:val="22"/>
                <w:szCs w:val="22"/>
              </w:rPr>
            </w:pPr>
            <w:r>
              <w:rPr>
                <w:rFonts w:hint="eastAsia" w:ascii="仿宋" w:hAnsi="仿宋" w:eastAsia="仿宋" w:cs="仿宋"/>
                <w:sz w:val="22"/>
                <w:szCs w:val="22"/>
              </w:rPr>
              <w:t>6</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sz w:val="22"/>
                <w:szCs w:val="22"/>
              </w:rPr>
            </w:pP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sz w:val="22"/>
                <w:szCs w:val="22"/>
              </w:rPr>
            </w:pPr>
            <w:r>
              <w:rPr>
                <w:rFonts w:hint="eastAsia" w:ascii="仿宋" w:hAnsi="仿宋" w:eastAsia="仿宋" w:cs="仿宋"/>
                <w:sz w:val="22"/>
                <w:szCs w:val="22"/>
              </w:rPr>
              <w:t>7</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sz w:val="22"/>
                <w:szCs w:val="22"/>
              </w:rPr>
            </w:pP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sz w:val="22"/>
                <w:szCs w:val="22"/>
              </w:rPr>
            </w:pPr>
            <w:r>
              <w:rPr>
                <w:rFonts w:hint="eastAsia" w:ascii="仿宋" w:hAnsi="仿宋" w:eastAsia="仿宋" w:cs="仿宋"/>
                <w:sz w:val="22"/>
                <w:szCs w:val="22"/>
              </w:rPr>
              <w:t>8</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sz w:val="22"/>
                <w:szCs w:val="22"/>
              </w:rPr>
            </w:pP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trPr>
        <w:tc>
          <w:tcPr>
            <w:tcW w:w="53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sz w:val="22"/>
                <w:szCs w:val="22"/>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sz w:val="22"/>
                <w:szCs w:val="22"/>
              </w:rPr>
            </w:pPr>
            <w:r>
              <w:rPr>
                <w:rFonts w:hint="eastAsia" w:ascii="仿宋" w:hAnsi="仿宋" w:eastAsia="仿宋" w:cs="仿宋"/>
                <w:sz w:val="22"/>
                <w:szCs w:val="22"/>
              </w:rPr>
              <w:t>（本表可根据需要</w:t>
            </w:r>
          </w:p>
          <w:p>
            <w:pPr>
              <w:widowControl/>
              <w:jc w:val="center"/>
              <w:textAlignment w:val="center"/>
              <w:rPr>
                <w:rFonts w:ascii="仿宋" w:hAnsi="仿宋" w:eastAsia="仿宋" w:cs="仿宋"/>
                <w:sz w:val="22"/>
                <w:szCs w:val="22"/>
              </w:rPr>
            </w:pPr>
            <w:r>
              <w:rPr>
                <w:rFonts w:hint="eastAsia" w:ascii="仿宋" w:hAnsi="仿宋" w:eastAsia="仿宋" w:cs="仿宋"/>
                <w:sz w:val="22"/>
                <w:szCs w:val="22"/>
              </w:rPr>
              <w:t>自行添加行）</w:t>
            </w:r>
          </w:p>
        </w:tc>
        <w:tc>
          <w:tcPr>
            <w:tcW w:w="255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c>
          <w:tcPr>
            <w:tcW w:w="2385"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仿宋" w:hAnsi="仿宋" w:eastAsia="仿宋" w:cs="仿宋"/>
                <w:sz w:val="22"/>
                <w:szCs w:val="22"/>
              </w:rPr>
            </w:pPr>
          </w:p>
        </w:tc>
      </w:tr>
    </w:tbl>
    <w:p>
      <w:pPr>
        <w:tabs>
          <w:tab w:val="left" w:pos="142"/>
        </w:tabs>
        <w:spacing w:line="500" w:lineRule="exact"/>
        <w:ind w:firstLine="480" w:firstLineChars="200"/>
        <w:jc w:val="left"/>
        <w:textAlignment w:val="baseline"/>
        <w:rPr>
          <w:rFonts w:ascii="仿宋" w:hAnsi="仿宋" w:eastAsia="仿宋" w:cs="仿宋"/>
          <w:sz w:val="24"/>
          <w:szCs w:val="24"/>
        </w:rPr>
      </w:pPr>
      <w:r>
        <w:rPr>
          <w:rFonts w:hint="eastAsia" w:ascii="仿宋" w:hAnsi="仿宋" w:eastAsia="仿宋" w:cs="仿宋"/>
          <w:sz w:val="24"/>
          <w:szCs w:val="24"/>
        </w:rPr>
        <w:t>供应商名称（加盖公章）：</w:t>
      </w:r>
    </w:p>
    <w:p>
      <w:pPr>
        <w:tabs>
          <w:tab w:val="left" w:pos="142"/>
        </w:tabs>
        <w:spacing w:line="500" w:lineRule="exact"/>
        <w:ind w:firstLine="480" w:firstLineChars="200"/>
        <w:jc w:val="left"/>
        <w:textAlignment w:val="baseline"/>
        <w:rPr>
          <w:rFonts w:ascii="仿宋" w:hAnsi="仿宋" w:eastAsia="仿宋" w:cs="仿宋"/>
          <w:sz w:val="24"/>
          <w:szCs w:val="24"/>
        </w:rPr>
      </w:pPr>
      <w:r>
        <w:rPr>
          <w:rFonts w:hint="eastAsia" w:ascii="仿宋" w:hAnsi="仿宋" w:eastAsia="仿宋" w:cs="仿宋"/>
          <w:sz w:val="24"/>
          <w:szCs w:val="24"/>
        </w:rPr>
        <w:t>法定代表人（授权代表）签章：</w:t>
      </w:r>
    </w:p>
    <w:p>
      <w:pPr>
        <w:tabs>
          <w:tab w:val="left" w:pos="142"/>
        </w:tabs>
        <w:spacing w:line="500" w:lineRule="exact"/>
        <w:ind w:firstLine="480" w:firstLineChars="200"/>
        <w:jc w:val="left"/>
        <w:textAlignment w:val="baseline"/>
        <w:rPr>
          <w:rFonts w:ascii="仿宋" w:hAnsi="仿宋" w:eastAsia="仿宋" w:cs="仿宋"/>
          <w:sz w:val="24"/>
          <w:szCs w:val="24"/>
        </w:rPr>
      </w:pPr>
      <w:r>
        <w:rPr>
          <w:rFonts w:hint="eastAsia" w:ascii="仿宋" w:hAnsi="仿宋" w:eastAsia="仿宋" w:cs="仿宋"/>
          <w:sz w:val="24"/>
          <w:szCs w:val="24"/>
        </w:rPr>
        <w:t>日期：</w:t>
      </w:r>
    </w:p>
    <w:p>
      <w:pPr>
        <w:tabs>
          <w:tab w:val="left" w:pos="142"/>
        </w:tabs>
        <w:spacing w:line="500" w:lineRule="exact"/>
        <w:ind w:firstLine="480" w:firstLineChars="200"/>
        <w:jc w:val="left"/>
        <w:textAlignment w:val="baseline"/>
        <w:rPr>
          <w:rFonts w:ascii="仿宋" w:hAnsi="仿宋" w:eastAsia="仿宋" w:cs="仿宋"/>
          <w:sz w:val="24"/>
          <w:szCs w:val="24"/>
        </w:rPr>
      </w:pPr>
    </w:p>
    <w:p>
      <w:pPr>
        <w:tabs>
          <w:tab w:val="left" w:pos="142"/>
        </w:tabs>
        <w:spacing w:line="500" w:lineRule="exact"/>
        <w:ind w:firstLine="480" w:firstLineChars="200"/>
        <w:jc w:val="left"/>
        <w:textAlignment w:val="baseline"/>
        <w:rPr>
          <w:rFonts w:ascii="仿宋" w:hAnsi="仿宋" w:eastAsia="仿宋" w:cs="仿宋"/>
          <w:sz w:val="24"/>
          <w:szCs w:val="24"/>
        </w:rPr>
      </w:pPr>
    </w:p>
    <w:p>
      <w:pPr>
        <w:tabs>
          <w:tab w:val="left" w:pos="142"/>
        </w:tabs>
        <w:spacing w:line="500" w:lineRule="exact"/>
        <w:ind w:firstLine="480" w:firstLineChars="200"/>
        <w:jc w:val="left"/>
        <w:textAlignment w:val="baseline"/>
        <w:rPr>
          <w:rFonts w:ascii="仿宋" w:hAnsi="仿宋" w:eastAsia="仿宋" w:cs="仿宋"/>
          <w:sz w:val="24"/>
          <w:szCs w:val="24"/>
        </w:rPr>
      </w:pPr>
    </w:p>
    <w:p>
      <w:pPr>
        <w:spacing w:line="400" w:lineRule="exact"/>
        <w:textAlignment w:val="baseline"/>
        <w:rPr>
          <w:rFonts w:ascii="仿宋" w:hAnsi="仿宋" w:eastAsia="仿宋" w:cs="仿宋"/>
          <w:sz w:val="24"/>
        </w:rPr>
      </w:pPr>
      <w:r>
        <w:rPr>
          <w:rFonts w:hint="eastAsia" w:ascii="仿宋" w:hAnsi="仿宋" w:eastAsia="仿宋" w:cs="仿宋"/>
          <w:sz w:val="24"/>
        </w:rPr>
        <w:t>填写说明：</w:t>
      </w:r>
    </w:p>
    <w:p>
      <w:pPr>
        <w:spacing w:line="400" w:lineRule="exact"/>
        <w:ind w:firstLine="480" w:firstLineChars="200"/>
        <w:textAlignment w:val="baseline"/>
        <w:rPr>
          <w:rFonts w:ascii="仿宋" w:hAnsi="仿宋" w:eastAsia="仿宋" w:cs="仿宋"/>
          <w:sz w:val="24"/>
        </w:rPr>
      </w:pPr>
      <w:r>
        <w:rPr>
          <w:rFonts w:hint="eastAsia" w:ascii="仿宋" w:hAnsi="仿宋" w:eastAsia="仿宋" w:cs="仿宋"/>
          <w:sz w:val="24"/>
        </w:rPr>
        <w:t>1、投标人应按照服务要求逐一说明响应，直接拷贝招标文件服务内容要求的按照无效处理；</w:t>
      </w:r>
    </w:p>
    <w:p>
      <w:pPr>
        <w:spacing w:line="400" w:lineRule="exact"/>
        <w:ind w:firstLine="480" w:firstLineChars="200"/>
        <w:textAlignment w:val="baseline"/>
        <w:rPr>
          <w:rFonts w:ascii="仿宋" w:hAnsi="仿宋" w:eastAsia="仿宋" w:cs="仿宋"/>
          <w:sz w:val="24"/>
        </w:rPr>
      </w:pPr>
      <w:r>
        <w:rPr>
          <w:rFonts w:hint="eastAsia" w:ascii="仿宋" w:hAnsi="仿宋" w:eastAsia="仿宋" w:cs="仿宋"/>
          <w:sz w:val="24"/>
        </w:rPr>
        <w:t>2、投标人承诺：除上表中的偏差外，完全响应招标文件的其他条款。</w:t>
      </w:r>
    </w:p>
    <w:p>
      <w:pPr>
        <w:spacing w:line="400" w:lineRule="exact"/>
        <w:ind w:firstLine="480" w:firstLineChars="200"/>
        <w:textAlignment w:val="baseline"/>
        <w:rPr>
          <w:rFonts w:ascii="仿宋" w:hAnsi="仿宋" w:eastAsia="仿宋" w:cs="仿宋"/>
          <w:sz w:val="24"/>
        </w:rPr>
      </w:pPr>
      <w:r>
        <w:rPr>
          <w:rFonts w:hint="eastAsia" w:ascii="仿宋" w:hAnsi="仿宋" w:eastAsia="仿宋" w:cs="仿宋"/>
          <w:sz w:val="24"/>
        </w:rPr>
        <w:t>3、如果行数不够，请自行添加。</w:t>
      </w:r>
    </w:p>
    <w:p>
      <w:pPr>
        <w:pStyle w:val="30"/>
        <w:ind w:firstLine="480"/>
        <w:textAlignment w:val="baseline"/>
        <w:rPr>
          <w:rFonts w:ascii="仿宋" w:hAnsi="仿宋" w:eastAsia="仿宋" w:cs="仿宋"/>
          <w:sz w:val="24"/>
        </w:rPr>
      </w:pPr>
    </w:p>
    <w:p>
      <w:pPr>
        <w:textAlignment w:val="baseline"/>
        <w:rPr>
          <w:rFonts w:ascii="仿宋" w:hAnsi="仿宋" w:eastAsia="仿宋" w:cs="仿宋"/>
          <w:sz w:val="24"/>
        </w:rPr>
      </w:pPr>
    </w:p>
    <w:p>
      <w:pPr>
        <w:pStyle w:val="30"/>
        <w:ind w:firstLine="480"/>
        <w:textAlignment w:val="baseline"/>
        <w:rPr>
          <w:rFonts w:ascii="仿宋" w:hAnsi="仿宋" w:eastAsia="仿宋" w:cs="仿宋"/>
          <w:sz w:val="24"/>
        </w:rPr>
      </w:pPr>
    </w:p>
    <w:p>
      <w:pPr>
        <w:textAlignment w:val="baseline"/>
        <w:rPr>
          <w:rFonts w:ascii="仿宋" w:hAnsi="仿宋" w:eastAsia="仿宋" w:cs="仿宋"/>
          <w:sz w:val="24"/>
        </w:rPr>
      </w:pPr>
    </w:p>
    <w:p>
      <w:pPr>
        <w:pStyle w:val="30"/>
        <w:ind w:firstLine="480"/>
        <w:textAlignment w:val="baseline"/>
        <w:rPr>
          <w:rFonts w:ascii="仿宋" w:hAnsi="仿宋" w:eastAsia="仿宋" w:cs="仿宋"/>
          <w:sz w:val="24"/>
        </w:rPr>
      </w:pPr>
    </w:p>
    <w:p>
      <w:pPr>
        <w:textAlignment w:val="baseline"/>
        <w:rPr>
          <w:rFonts w:ascii="仿宋" w:hAnsi="仿宋" w:eastAsia="仿宋" w:cs="仿宋"/>
          <w:sz w:val="24"/>
        </w:rPr>
      </w:pPr>
    </w:p>
    <w:p>
      <w:pPr>
        <w:pStyle w:val="30"/>
        <w:ind w:firstLine="480"/>
        <w:textAlignment w:val="baseline"/>
        <w:rPr>
          <w:rFonts w:ascii="仿宋" w:hAnsi="仿宋" w:eastAsia="仿宋" w:cs="仿宋"/>
          <w:sz w:val="24"/>
        </w:rPr>
      </w:pPr>
    </w:p>
    <w:p>
      <w:pPr>
        <w:textAlignment w:val="baseline"/>
        <w:rPr>
          <w:rFonts w:ascii="仿宋" w:hAnsi="仿宋" w:eastAsia="仿宋" w:cs="仿宋"/>
          <w:sz w:val="24"/>
        </w:rPr>
      </w:pPr>
    </w:p>
    <w:p>
      <w:pPr>
        <w:pStyle w:val="30"/>
        <w:ind w:firstLine="480"/>
        <w:textAlignment w:val="baseline"/>
        <w:rPr>
          <w:rFonts w:ascii="仿宋" w:hAnsi="仿宋" w:eastAsia="仿宋" w:cs="仿宋"/>
          <w:sz w:val="24"/>
        </w:rPr>
      </w:pPr>
    </w:p>
    <w:p>
      <w:pPr>
        <w:pStyle w:val="45"/>
        <w:numPr>
          <w:ilvl w:val="0"/>
          <w:numId w:val="0"/>
        </w:numPr>
        <w:spacing w:line="360" w:lineRule="auto"/>
        <w:jc w:val="center"/>
        <w:textAlignment w:val="baseline"/>
        <w:rPr>
          <w:rFonts w:ascii="仿宋" w:hAnsi="仿宋" w:eastAsia="仿宋" w:cs="仿宋"/>
          <w:color w:val="000000"/>
          <w:sz w:val="32"/>
          <w:szCs w:val="32"/>
        </w:rPr>
      </w:pPr>
      <w:bookmarkStart w:id="172" w:name="_Toc6890"/>
      <w:bookmarkStart w:id="173" w:name="_Toc32475"/>
      <w:bookmarkStart w:id="174" w:name="_Toc8869"/>
      <w:bookmarkStart w:id="175" w:name="_Toc10654"/>
      <w:bookmarkStart w:id="176" w:name="_Toc25170489"/>
      <w:bookmarkStart w:id="177" w:name="_Toc13294"/>
      <w:r>
        <w:rPr>
          <w:rFonts w:hint="eastAsia" w:ascii="仿宋" w:hAnsi="仿宋" w:eastAsia="仿宋" w:cs="仿宋"/>
          <w:color w:val="000000"/>
          <w:sz w:val="32"/>
          <w:szCs w:val="32"/>
        </w:rPr>
        <w:t>六、</w:t>
      </w:r>
      <w:bookmarkEnd w:id="172"/>
      <w:bookmarkEnd w:id="173"/>
      <w:bookmarkEnd w:id="174"/>
      <w:bookmarkEnd w:id="175"/>
      <w:bookmarkEnd w:id="176"/>
      <w:r>
        <w:rPr>
          <w:rFonts w:hint="eastAsia" w:ascii="仿宋" w:hAnsi="仿宋" w:eastAsia="仿宋" w:cs="仿宋"/>
          <w:color w:val="000000"/>
          <w:sz w:val="32"/>
          <w:szCs w:val="32"/>
        </w:rPr>
        <w:t>项目实施方案</w:t>
      </w:r>
      <w:bookmarkEnd w:id="177"/>
    </w:p>
    <w:p>
      <w:pPr>
        <w:pStyle w:val="41"/>
        <w:spacing w:before="0" w:after="0"/>
        <w:textAlignment w:val="baseline"/>
        <w:rPr>
          <w:rFonts w:ascii="仿宋" w:hAnsi="仿宋" w:eastAsia="仿宋" w:cs="仿宋"/>
        </w:rPr>
      </w:pPr>
    </w:p>
    <w:p>
      <w:pPr>
        <w:spacing w:line="360" w:lineRule="auto"/>
        <w:ind w:firstLine="480" w:firstLineChars="200"/>
        <w:textAlignment w:val="baseline"/>
        <w:rPr>
          <w:rFonts w:ascii="仿宋" w:hAnsi="仿宋" w:eastAsia="仿宋" w:cs="仿宋"/>
          <w:sz w:val="24"/>
          <w:szCs w:val="24"/>
        </w:rPr>
      </w:pPr>
      <w:r>
        <w:rPr>
          <w:rFonts w:hint="eastAsia" w:ascii="仿宋" w:hAnsi="仿宋" w:eastAsia="仿宋" w:cs="仿宋"/>
          <w:sz w:val="24"/>
          <w:szCs w:val="24"/>
        </w:rPr>
        <w:t>本项应包含且不限于下列内容：</w:t>
      </w:r>
    </w:p>
    <w:p>
      <w:pPr>
        <w:spacing w:line="360" w:lineRule="auto"/>
        <w:ind w:firstLine="960" w:firstLineChars="400"/>
        <w:textAlignment w:val="baseline"/>
        <w:rPr>
          <w:rFonts w:ascii="仿宋" w:hAnsi="仿宋" w:eastAsia="仿宋" w:cs="仿宋"/>
          <w:sz w:val="24"/>
          <w:szCs w:val="24"/>
        </w:rPr>
      </w:pPr>
      <w:r>
        <w:rPr>
          <w:rFonts w:hint="eastAsia" w:ascii="仿宋" w:hAnsi="仿宋" w:eastAsia="仿宋" w:cs="仿宋"/>
          <w:sz w:val="24"/>
          <w:szCs w:val="24"/>
        </w:rPr>
        <w:t>项目实施方案、服务方案、有效措施、人员分工及具体措施等。</w:t>
      </w:r>
    </w:p>
    <w:p>
      <w:pPr>
        <w:spacing w:line="360" w:lineRule="auto"/>
        <w:ind w:firstLine="480" w:firstLineChars="200"/>
        <w:textAlignment w:val="baseline"/>
        <w:rPr>
          <w:rFonts w:ascii="仿宋" w:hAnsi="仿宋" w:eastAsia="仿宋" w:cs="仿宋"/>
          <w:sz w:val="24"/>
          <w:szCs w:val="24"/>
        </w:rPr>
      </w:pPr>
    </w:p>
    <w:p>
      <w:pPr>
        <w:spacing w:line="360" w:lineRule="auto"/>
        <w:ind w:firstLine="480" w:firstLineChars="200"/>
        <w:textAlignment w:val="baseline"/>
        <w:rPr>
          <w:rFonts w:ascii="仿宋" w:hAnsi="仿宋" w:eastAsia="仿宋" w:cs="仿宋"/>
          <w:sz w:val="24"/>
          <w:szCs w:val="24"/>
        </w:rPr>
      </w:pPr>
    </w:p>
    <w:p>
      <w:pPr>
        <w:spacing w:line="360" w:lineRule="auto"/>
        <w:ind w:firstLine="960" w:firstLineChars="400"/>
        <w:textAlignment w:val="baseline"/>
        <w:rPr>
          <w:rFonts w:ascii="仿宋" w:hAnsi="仿宋" w:eastAsia="仿宋" w:cs="仿宋"/>
          <w:sz w:val="24"/>
          <w:szCs w:val="24"/>
        </w:rPr>
      </w:pPr>
      <w:r>
        <w:rPr>
          <w:rFonts w:hint="eastAsia" w:ascii="仿宋" w:hAnsi="仿宋" w:eastAsia="仿宋" w:cs="仿宋"/>
          <w:sz w:val="24"/>
          <w:szCs w:val="24"/>
        </w:rPr>
        <w:t>供应商名称（加盖公章）：</w:t>
      </w:r>
    </w:p>
    <w:p>
      <w:pPr>
        <w:spacing w:line="360" w:lineRule="auto"/>
        <w:ind w:firstLine="960" w:firstLineChars="400"/>
        <w:textAlignment w:val="baseline"/>
        <w:rPr>
          <w:rFonts w:ascii="仿宋" w:hAnsi="仿宋" w:eastAsia="仿宋" w:cs="仿宋"/>
          <w:sz w:val="24"/>
          <w:szCs w:val="24"/>
        </w:rPr>
      </w:pPr>
      <w:r>
        <w:rPr>
          <w:rFonts w:hint="eastAsia" w:ascii="仿宋" w:hAnsi="仿宋" w:eastAsia="仿宋" w:cs="仿宋"/>
          <w:sz w:val="24"/>
          <w:szCs w:val="24"/>
        </w:rPr>
        <w:t>法定代表人（授权代表）签章：</w:t>
      </w:r>
    </w:p>
    <w:p>
      <w:pPr>
        <w:spacing w:line="360" w:lineRule="auto"/>
        <w:ind w:firstLine="960" w:firstLineChars="400"/>
        <w:textAlignment w:val="baseline"/>
        <w:rPr>
          <w:rFonts w:ascii="仿宋" w:hAnsi="仿宋" w:eastAsia="仿宋" w:cs="仿宋"/>
          <w:sz w:val="20"/>
        </w:rPr>
        <w:sectPr>
          <w:headerReference r:id="rId12" w:type="default"/>
          <w:footerReference r:id="rId13" w:type="default"/>
          <w:pgSz w:w="11906" w:h="16838"/>
          <w:pgMar w:top="1440" w:right="1080" w:bottom="1440" w:left="1080" w:header="851" w:footer="992" w:gutter="0"/>
          <w:cols w:space="720" w:num="1"/>
          <w:docGrid w:type="linesAndChars" w:linePitch="312" w:charSpace="0"/>
        </w:sectPr>
      </w:pPr>
      <w:r>
        <w:rPr>
          <w:rFonts w:hint="eastAsia" w:ascii="仿宋" w:hAnsi="仿宋" w:eastAsia="仿宋" w:cs="仿宋"/>
          <w:sz w:val="24"/>
          <w:szCs w:val="24"/>
        </w:rPr>
        <w:t>日期：</w:t>
      </w:r>
    </w:p>
    <w:p>
      <w:pPr>
        <w:pStyle w:val="45"/>
        <w:numPr>
          <w:ilvl w:val="0"/>
          <w:numId w:val="10"/>
        </w:numPr>
        <w:jc w:val="center"/>
        <w:textAlignment w:val="baseline"/>
        <w:rPr>
          <w:rFonts w:ascii="仿宋" w:hAnsi="仿宋" w:eastAsia="仿宋" w:cs="仿宋"/>
          <w:color w:val="000000"/>
          <w:sz w:val="32"/>
          <w:szCs w:val="32"/>
        </w:rPr>
      </w:pPr>
      <w:bookmarkStart w:id="178" w:name="_Toc17253"/>
      <w:r>
        <w:rPr>
          <w:rFonts w:hint="eastAsia" w:ascii="仿宋" w:hAnsi="仿宋" w:eastAsia="仿宋" w:cs="仿宋"/>
          <w:color w:val="000000"/>
          <w:sz w:val="32"/>
          <w:szCs w:val="32"/>
        </w:rPr>
        <w:t>服务方案与承诺</w:t>
      </w:r>
      <w:bookmarkEnd w:id="178"/>
    </w:p>
    <w:p>
      <w:pPr>
        <w:pStyle w:val="45"/>
        <w:numPr>
          <w:ilvl w:val="0"/>
          <w:numId w:val="10"/>
        </w:numPr>
        <w:jc w:val="center"/>
        <w:textAlignment w:val="baseline"/>
        <w:rPr>
          <w:rFonts w:ascii="仿宋" w:hAnsi="仿宋" w:eastAsia="仿宋" w:cs="仿宋"/>
          <w:color w:val="000000"/>
          <w:sz w:val="32"/>
          <w:szCs w:val="32"/>
        </w:rPr>
      </w:pPr>
      <w:bookmarkStart w:id="179" w:name="_Toc5702"/>
      <w:r>
        <w:rPr>
          <w:rFonts w:hint="eastAsia" w:ascii="仿宋" w:hAnsi="仿宋" w:eastAsia="仿宋" w:cs="仿宋"/>
          <w:color w:val="000000"/>
          <w:sz w:val="32"/>
          <w:szCs w:val="32"/>
        </w:rPr>
        <w:t>拟投入项目人员一览表</w:t>
      </w:r>
      <w:bookmarkEnd w:id="179"/>
    </w:p>
    <w:p>
      <w:pPr>
        <w:textAlignment w:val="baseline"/>
        <w:rPr>
          <w:rFonts w:ascii="仿宋" w:hAnsi="仿宋" w:eastAsia="仿宋" w:cs="仿宋"/>
          <w:sz w:val="20"/>
        </w:rPr>
      </w:pPr>
    </w:p>
    <w:tbl>
      <w:tblPr>
        <w:tblStyle w:val="31"/>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7"/>
        <w:gridCol w:w="2048"/>
        <w:gridCol w:w="2193"/>
        <w:gridCol w:w="776"/>
        <w:gridCol w:w="3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jc w:val="center"/>
        </w:trPr>
        <w:tc>
          <w:tcPr>
            <w:tcW w:w="1147" w:type="dxa"/>
            <w:vAlign w:val="center"/>
          </w:tcPr>
          <w:p>
            <w:pPr>
              <w:spacing w:line="360" w:lineRule="auto"/>
              <w:jc w:val="center"/>
              <w:textAlignment w:val="baseline"/>
              <w:rPr>
                <w:rFonts w:ascii="仿宋" w:hAnsi="仿宋" w:eastAsia="仿宋" w:cs="仿宋"/>
                <w:b/>
                <w:bCs/>
                <w:sz w:val="24"/>
                <w:szCs w:val="24"/>
                <w:lang w:val="zh-CN"/>
              </w:rPr>
            </w:pPr>
            <w:r>
              <w:rPr>
                <w:rFonts w:hint="eastAsia" w:ascii="仿宋" w:hAnsi="仿宋" w:eastAsia="仿宋" w:cs="仿宋"/>
                <w:b/>
                <w:bCs/>
                <w:sz w:val="24"/>
                <w:szCs w:val="24"/>
                <w:lang w:val="zh-CN"/>
              </w:rPr>
              <w:t>序号</w:t>
            </w:r>
          </w:p>
        </w:tc>
        <w:tc>
          <w:tcPr>
            <w:tcW w:w="2048" w:type="dxa"/>
            <w:vAlign w:val="center"/>
          </w:tcPr>
          <w:p>
            <w:pPr>
              <w:spacing w:line="360" w:lineRule="auto"/>
              <w:jc w:val="center"/>
              <w:textAlignment w:val="baseline"/>
              <w:rPr>
                <w:rFonts w:ascii="仿宋" w:hAnsi="仿宋" w:eastAsia="仿宋" w:cs="仿宋"/>
                <w:b/>
                <w:bCs/>
                <w:sz w:val="24"/>
                <w:szCs w:val="24"/>
                <w:lang w:val="zh-CN"/>
              </w:rPr>
            </w:pPr>
            <w:r>
              <w:rPr>
                <w:rFonts w:hint="eastAsia" w:ascii="仿宋" w:hAnsi="仿宋" w:eastAsia="仿宋" w:cs="仿宋"/>
                <w:b/>
                <w:bCs/>
                <w:sz w:val="24"/>
                <w:szCs w:val="24"/>
                <w:lang w:val="zh-CN"/>
              </w:rPr>
              <w:t>姓名</w:t>
            </w:r>
          </w:p>
        </w:tc>
        <w:tc>
          <w:tcPr>
            <w:tcW w:w="2193" w:type="dxa"/>
            <w:vAlign w:val="center"/>
          </w:tcPr>
          <w:p>
            <w:pPr>
              <w:spacing w:line="360" w:lineRule="auto"/>
              <w:jc w:val="center"/>
              <w:textAlignment w:val="baseline"/>
              <w:rPr>
                <w:rFonts w:ascii="仿宋" w:hAnsi="仿宋" w:eastAsia="仿宋" w:cs="仿宋"/>
                <w:b/>
                <w:bCs/>
                <w:sz w:val="24"/>
                <w:szCs w:val="24"/>
                <w:lang w:val="zh-CN"/>
              </w:rPr>
            </w:pPr>
            <w:r>
              <w:rPr>
                <w:rFonts w:hint="eastAsia" w:ascii="仿宋" w:hAnsi="仿宋" w:eastAsia="仿宋" w:cs="仿宋"/>
                <w:b/>
                <w:bCs/>
                <w:sz w:val="24"/>
                <w:szCs w:val="24"/>
                <w:lang w:val="zh-CN"/>
              </w:rPr>
              <w:t>在本项目中担任的职务</w:t>
            </w:r>
          </w:p>
        </w:tc>
        <w:tc>
          <w:tcPr>
            <w:tcW w:w="776" w:type="dxa"/>
            <w:vAlign w:val="center"/>
          </w:tcPr>
          <w:p>
            <w:pPr>
              <w:spacing w:line="360" w:lineRule="auto"/>
              <w:jc w:val="center"/>
              <w:textAlignment w:val="baseline"/>
              <w:rPr>
                <w:rFonts w:ascii="仿宋" w:hAnsi="仿宋" w:eastAsia="仿宋" w:cs="仿宋"/>
                <w:b/>
                <w:bCs/>
                <w:sz w:val="24"/>
                <w:szCs w:val="24"/>
                <w:lang w:val="zh-CN"/>
              </w:rPr>
            </w:pPr>
            <w:r>
              <w:rPr>
                <w:rFonts w:hint="eastAsia" w:ascii="仿宋" w:hAnsi="仿宋" w:eastAsia="仿宋" w:cs="仿宋"/>
                <w:b/>
                <w:bCs/>
                <w:sz w:val="24"/>
                <w:szCs w:val="24"/>
                <w:lang w:val="zh-CN"/>
              </w:rPr>
              <w:t>职称</w:t>
            </w:r>
          </w:p>
        </w:tc>
        <w:tc>
          <w:tcPr>
            <w:tcW w:w="3383" w:type="dxa"/>
            <w:vAlign w:val="center"/>
          </w:tcPr>
          <w:p>
            <w:pPr>
              <w:spacing w:line="360" w:lineRule="auto"/>
              <w:ind w:firstLine="420"/>
              <w:jc w:val="center"/>
              <w:textAlignment w:val="baseline"/>
              <w:rPr>
                <w:rFonts w:ascii="仿宋" w:hAnsi="仿宋" w:eastAsia="仿宋" w:cs="仿宋"/>
                <w:b/>
                <w:bCs/>
                <w:sz w:val="24"/>
                <w:szCs w:val="24"/>
                <w:lang w:val="zh-CN"/>
              </w:rPr>
            </w:pPr>
            <w:r>
              <w:rPr>
                <w:rFonts w:hint="eastAsia" w:ascii="仿宋" w:hAnsi="仿宋" w:eastAsia="仿宋" w:cs="仿宋"/>
                <w:b/>
                <w:bCs/>
                <w:sz w:val="24"/>
                <w:szCs w:val="24"/>
                <w:lang w:val="zh-CN"/>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1147" w:type="dxa"/>
            <w:vMerge w:val="restart"/>
            <w:vAlign w:val="center"/>
          </w:tcPr>
          <w:p>
            <w:pPr>
              <w:spacing w:line="360" w:lineRule="auto"/>
              <w:jc w:val="center"/>
              <w:textAlignment w:val="baseline"/>
              <w:rPr>
                <w:rFonts w:ascii="仿宋" w:hAnsi="仿宋" w:eastAsia="仿宋" w:cs="仿宋"/>
                <w:sz w:val="24"/>
                <w:szCs w:val="24"/>
                <w:lang w:val="zh-CN"/>
              </w:rPr>
            </w:pPr>
            <w:r>
              <w:rPr>
                <w:rFonts w:hint="eastAsia" w:ascii="仿宋" w:hAnsi="仿宋" w:eastAsia="仿宋" w:cs="仿宋"/>
                <w:sz w:val="24"/>
                <w:szCs w:val="24"/>
                <w:lang w:val="zh-CN"/>
              </w:rPr>
              <w:t>1</w:t>
            </w:r>
          </w:p>
        </w:tc>
        <w:tc>
          <w:tcPr>
            <w:tcW w:w="2048" w:type="dxa"/>
            <w:vAlign w:val="center"/>
          </w:tcPr>
          <w:p>
            <w:pPr>
              <w:spacing w:line="360" w:lineRule="auto"/>
              <w:ind w:firstLine="420"/>
              <w:textAlignment w:val="baseline"/>
              <w:rPr>
                <w:rFonts w:ascii="仿宋" w:hAnsi="仿宋" w:eastAsia="仿宋" w:cs="仿宋"/>
                <w:sz w:val="24"/>
                <w:szCs w:val="24"/>
                <w:lang w:val="zh-CN"/>
              </w:rPr>
            </w:pPr>
          </w:p>
        </w:tc>
        <w:tc>
          <w:tcPr>
            <w:tcW w:w="2193" w:type="dxa"/>
            <w:vAlign w:val="center"/>
          </w:tcPr>
          <w:p>
            <w:pPr>
              <w:spacing w:line="360" w:lineRule="auto"/>
              <w:ind w:firstLine="420"/>
              <w:textAlignment w:val="baseline"/>
              <w:rPr>
                <w:rFonts w:ascii="仿宋" w:hAnsi="仿宋" w:eastAsia="仿宋" w:cs="仿宋"/>
                <w:sz w:val="24"/>
                <w:szCs w:val="24"/>
                <w:lang w:val="zh-CN"/>
              </w:rPr>
            </w:pPr>
          </w:p>
        </w:tc>
        <w:tc>
          <w:tcPr>
            <w:tcW w:w="776" w:type="dxa"/>
            <w:vAlign w:val="center"/>
          </w:tcPr>
          <w:p>
            <w:pPr>
              <w:spacing w:line="360" w:lineRule="auto"/>
              <w:ind w:firstLine="420"/>
              <w:textAlignment w:val="baseline"/>
              <w:rPr>
                <w:rFonts w:ascii="仿宋" w:hAnsi="仿宋" w:eastAsia="仿宋" w:cs="仿宋"/>
                <w:sz w:val="24"/>
                <w:szCs w:val="24"/>
                <w:lang w:val="zh-CN"/>
              </w:rPr>
            </w:pPr>
          </w:p>
        </w:tc>
        <w:tc>
          <w:tcPr>
            <w:tcW w:w="3383" w:type="dxa"/>
            <w:vAlign w:val="center"/>
          </w:tcPr>
          <w:p>
            <w:pPr>
              <w:spacing w:line="360" w:lineRule="auto"/>
              <w:ind w:firstLine="420"/>
              <w:textAlignment w:val="baseline"/>
              <w:rPr>
                <w:rFonts w:ascii="仿宋" w:hAnsi="仿宋" w:eastAsia="仿宋" w:cs="仿宋"/>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1147" w:type="dxa"/>
            <w:vMerge w:val="continue"/>
            <w:vAlign w:val="center"/>
          </w:tcPr>
          <w:p>
            <w:pPr>
              <w:spacing w:line="360" w:lineRule="auto"/>
              <w:ind w:firstLine="420"/>
              <w:jc w:val="center"/>
              <w:textAlignment w:val="baseline"/>
              <w:rPr>
                <w:rFonts w:ascii="仿宋" w:hAnsi="仿宋" w:eastAsia="仿宋" w:cs="仿宋"/>
                <w:sz w:val="24"/>
                <w:szCs w:val="24"/>
                <w:lang w:val="zh-CN"/>
              </w:rPr>
            </w:pPr>
          </w:p>
        </w:tc>
        <w:tc>
          <w:tcPr>
            <w:tcW w:w="2048" w:type="dxa"/>
            <w:vAlign w:val="center"/>
          </w:tcPr>
          <w:p>
            <w:pPr>
              <w:spacing w:line="360" w:lineRule="auto"/>
              <w:ind w:firstLine="420"/>
              <w:textAlignment w:val="baseline"/>
              <w:rPr>
                <w:rFonts w:ascii="仿宋" w:hAnsi="仿宋" w:eastAsia="仿宋" w:cs="仿宋"/>
                <w:sz w:val="24"/>
                <w:szCs w:val="24"/>
                <w:lang w:val="zh-CN"/>
              </w:rPr>
            </w:pPr>
          </w:p>
        </w:tc>
        <w:tc>
          <w:tcPr>
            <w:tcW w:w="2193" w:type="dxa"/>
            <w:vAlign w:val="center"/>
          </w:tcPr>
          <w:p>
            <w:pPr>
              <w:spacing w:line="360" w:lineRule="auto"/>
              <w:ind w:firstLine="420"/>
              <w:textAlignment w:val="baseline"/>
              <w:rPr>
                <w:rFonts w:ascii="仿宋" w:hAnsi="仿宋" w:eastAsia="仿宋" w:cs="仿宋"/>
                <w:sz w:val="24"/>
                <w:szCs w:val="24"/>
                <w:lang w:val="zh-CN"/>
              </w:rPr>
            </w:pPr>
            <w:r>
              <w:rPr>
                <w:rFonts w:hint="eastAsia" w:ascii="仿宋" w:hAnsi="仿宋" w:eastAsia="仿宋" w:cs="仿宋"/>
                <w:sz w:val="24"/>
                <w:szCs w:val="24"/>
                <w:lang w:val="zh-CN"/>
              </w:rPr>
              <w:t>……</w:t>
            </w:r>
          </w:p>
        </w:tc>
        <w:tc>
          <w:tcPr>
            <w:tcW w:w="776" w:type="dxa"/>
            <w:vAlign w:val="center"/>
          </w:tcPr>
          <w:p>
            <w:pPr>
              <w:spacing w:line="360" w:lineRule="auto"/>
              <w:ind w:firstLine="420"/>
              <w:textAlignment w:val="baseline"/>
              <w:rPr>
                <w:rFonts w:ascii="仿宋" w:hAnsi="仿宋" w:eastAsia="仿宋" w:cs="仿宋"/>
                <w:sz w:val="24"/>
                <w:szCs w:val="24"/>
                <w:lang w:val="zh-CN"/>
              </w:rPr>
            </w:pPr>
          </w:p>
        </w:tc>
        <w:tc>
          <w:tcPr>
            <w:tcW w:w="3383" w:type="dxa"/>
            <w:vAlign w:val="center"/>
          </w:tcPr>
          <w:p>
            <w:pPr>
              <w:spacing w:line="360" w:lineRule="auto"/>
              <w:ind w:firstLine="420"/>
              <w:textAlignment w:val="baseline"/>
              <w:rPr>
                <w:rFonts w:ascii="仿宋" w:hAnsi="仿宋" w:eastAsia="仿宋" w:cs="仿宋"/>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1147" w:type="dxa"/>
            <w:vMerge w:val="restart"/>
            <w:vAlign w:val="center"/>
          </w:tcPr>
          <w:p>
            <w:pPr>
              <w:spacing w:line="360" w:lineRule="auto"/>
              <w:jc w:val="center"/>
              <w:textAlignment w:val="baseline"/>
              <w:rPr>
                <w:rFonts w:ascii="仿宋" w:hAnsi="仿宋" w:eastAsia="仿宋" w:cs="仿宋"/>
                <w:sz w:val="24"/>
                <w:szCs w:val="24"/>
                <w:lang w:val="zh-CN"/>
              </w:rPr>
            </w:pPr>
            <w:r>
              <w:rPr>
                <w:rFonts w:hint="eastAsia" w:ascii="仿宋" w:hAnsi="仿宋" w:eastAsia="仿宋" w:cs="仿宋"/>
                <w:sz w:val="24"/>
                <w:szCs w:val="24"/>
                <w:lang w:val="zh-CN"/>
              </w:rPr>
              <w:t>2</w:t>
            </w:r>
          </w:p>
        </w:tc>
        <w:tc>
          <w:tcPr>
            <w:tcW w:w="2048" w:type="dxa"/>
            <w:vAlign w:val="center"/>
          </w:tcPr>
          <w:p>
            <w:pPr>
              <w:spacing w:line="360" w:lineRule="auto"/>
              <w:ind w:firstLine="420"/>
              <w:textAlignment w:val="baseline"/>
              <w:rPr>
                <w:rFonts w:ascii="仿宋" w:hAnsi="仿宋" w:eastAsia="仿宋" w:cs="仿宋"/>
                <w:sz w:val="24"/>
                <w:szCs w:val="24"/>
                <w:lang w:val="zh-CN"/>
              </w:rPr>
            </w:pPr>
          </w:p>
        </w:tc>
        <w:tc>
          <w:tcPr>
            <w:tcW w:w="2193" w:type="dxa"/>
            <w:vAlign w:val="center"/>
          </w:tcPr>
          <w:p>
            <w:pPr>
              <w:spacing w:line="360" w:lineRule="auto"/>
              <w:ind w:firstLine="420"/>
              <w:textAlignment w:val="baseline"/>
              <w:rPr>
                <w:rFonts w:ascii="仿宋" w:hAnsi="仿宋" w:eastAsia="仿宋" w:cs="仿宋"/>
                <w:sz w:val="24"/>
                <w:szCs w:val="24"/>
                <w:lang w:val="zh-CN"/>
              </w:rPr>
            </w:pPr>
          </w:p>
        </w:tc>
        <w:tc>
          <w:tcPr>
            <w:tcW w:w="776" w:type="dxa"/>
            <w:vAlign w:val="center"/>
          </w:tcPr>
          <w:p>
            <w:pPr>
              <w:spacing w:line="360" w:lineRule="auto"/>
              <w:ind w:firstLine="420"/>
              <w:textAlignment w:val="baseline"/>
              <w:rPr>
                <w:rFonts w:ascii="仿宋" w:hAnsi="仿宋" w:eastAsia="仿宋" w:cs="仿宋"/>
                <w:sz w:val="24"/>
                <w:szCs w:val="24"/>
                <w:lang w:val="zh-CN"/>
              </w:rPr>
            </w:pPr>
          </w:p>
        </w:tc>
        <w:tc>
          <w:tcPr>
            <w:tcW w:w="3383" w:type="dxa"/>
            <w:vAlign w:val="center"/>
          </w:tcPr>
          <w:p>
            <w:pPr>
              <w:spacing w:line="360" w:lineRule="auto"/>
              <w:ind w:firstLine="420"/>
              <w:textAlignment w:val="baseline"/>
              <w:rPr>
                <w:rFonts w:ascii="仿宋" w:hAnsi="仿宋" w:eastAsia="仿宋" w:cs="仿宋"/>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1147" w:type="dxa"/>
            <w:vMerge w:val="continue"/>
            <w:vAlign w:val="center"/>
          </w:tcPr>
          <w:p>
            <w:pPr>
              <w:spacing w:line="360" w:lineRule="auto"/>
              <w:ind w:firstLine="420"/>
              <w:jc w:val="center"/>
              <w:textAlignment w:val="baseline"/>
              <w:rPr>
                <w:rFonts w:ascii="仿宋" w:hAnsi="仿宋" w:eastAsia="仿宋" w:cs="仿宋"/>
                <w:sz w:val="24"/>
                <w:szCs w:val="24"/>
                <w:lang w:val="zh-CN"/>
              </w:rPr>
            </w:pPr>
          </w:p>
        </w:tc>
        <w:tc>
          <w:tcPr>
            <w:tcW w:w="2048" w:type="dxa"/>
            <w:vAlign w:val="center"/>
          </w:tcPr>
          <w:p>
            <w:pPr>
              <w:spacing w:line="360" w:lineRule="auto"/>
              <w:ind w:firstLine="420"/>
              <w:textAlignment w:val="baseline"/>
              <w:rPr>
                <w:rFonts w:ascii="仿宋" w:hAnsi="仿宋" w:eastAsia="仿宋" w:cs="仿宋"/>
                <w:sz w:val="24"/>
                <w:szCs w:val="24"/>
                <w:lang w:val="zh-CN"/>
              </w:rPr>
            </w:pPr>
          </w:p>
        </w:tc>
        <w:tc>
          <w:tcPr>
            <w:tcW w:w="2193" w:type="dxa"/>
            <w:vAlign w:val="center"/>
          </w:tcPr>
          <w:p>
            <w:pPr>
              <w:spacing w:line="360" w:lineRule="auto"/>
              <w:ind w:firstLine="420"/>
              <w:textAlignment w:val="baseline"/>
              <w:rPr>
                <w:rFonts w:ascii="仿宋" w:hAnsi="仿宋" w:eastAsia="仿宋" w:cs="仿宋"/>
                <w:sz w:val="24"/>
                <w:szCs w:val="24"/>
                <w:lang w:val="zh-CN"/>
              </w:rPr>
            </w:pPr>
            <w:r>
              <w:rPr>
                <w:rFonts w:hint="eastAsia" w:ascii="仿宋" w:hAnsi="仿宋" w:eastAsia="仿宋" w:cs="仿宋"/>
                <w:sz w:val="24"/>
                <w:szCs w:val="24"/>
                <w:lang w:val="zh-CN"/>
              </w:rPr>
              <w:t>……</w:t>
            </w:r>
          </w:p>
        </w:tc>
        <w:tc>
          <w:tcPr>
            <w:tcW w:w="776" w:type="dxa"/>
            <w:vAlign w:val="center"/>
          </w:tcPr>
          <w:p>
            <w:pPr>
              <w:spacing w:line="360" w:lineRule="auto"/>
              <w:ind w:firstLine="420"/>
              <w:textAlignment w:val="baseline"/>
              <w:rPr>
                <w:rFonts w:ascii="仿宋" w:hAnsi="仿宋" w:eastAsia="仿宋" w:cs="仿宋"/>
                <w:sz w:val="24"/>
                <w:szCs w:val="24"/>
                <w:lang w:val="zh-CN"/>
              </w:rPr>
            </w:pPr>
          </w:p>
        </w:tc>
        <w:tc>
          <w:tcPr>
            <w:tcW w:w="3383" w:type="dxa"/>
            <w:vAlign w:val="center"/>
          </w:tcPr>
          <w:p>
            <w:pPr>
              <w:spacing w:line="360" w:lineRule="auto"/>
              <w:ind w:firstLine="420"/>
              <w:textAlignment w:val="baseline"/>
              <w:rPr>
                <w:rFonts w:ascii="仿宋" w:hAnsi="仿宋" w:eastAsia="仿宋" w:cs="仿宋"/>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1147" w:type="dxa"/>
            <w:vMerge w:val="restart"/>
            <w:vAlign w:val="center"/>
          </w:tcPr>
          <w:p>
            <w:pPr>
              <w:spacing w:line="360" w:lineRule="auto"/>
              <w:jc w:val="center"/>
              <w:textAlignment w:val="baseline"/>
              <w:rPr>
                <w:rFonts w:ascii="仿宋" w:hAnsi="仿宋" w:eastAsia="仿宋" w:cs="仿宋"/>
                <w:sz w:val="24"/>
                <w:szCs w:val="24"/>
              </w:rPr>
            </w:pPr>
            <w:r>
              <w:rPr>
                <w:rFonts w:hint="eastAsia" w:ascii="仿宋" w:hAnsi="仿宋" w:eastAsia="仿宋" w:cs="仿宋"/>
                <w:sz w:val="24"/>
                <w:szCs w:val="24"/>
              </w:rPr>
              <w:t>3</w:t>
            </w:r>
          </w:p>
        </w:tc>
        <w:tc>
          <w:tcPr>
            <w:tcW w:w="2048" w:type="dxa"/>
            <w:vAlign w:val="center"/>
          </w:tcPr>
          <w:p>
            <w:pPr>
              <w:spacing w:line="360" w:lineRule="auto"/>
              <w:ind w:firstLine="420"/>
              <w:textAlignment w:val="baseline"/>
              <w:rPr>
                <w:rFonts w:ascii="仿宋" w:hAnsi="仿宋" w:eastAsia="仿宋" w:cs="仿宋"/>
                <w:sz w:val="24"/>
                <w:szCs w:val="24"/>
                <w:lang w:val="zh-CN"/>
              </w:rPr>
            </w:pPr>
          </w:p>
        </w:tc>
        <w:tc>
          <w:tcPr>
            <w:tcW w:w="2193" w:type="dxa"/>
            <w:vAlign w:val="center"/>
          </w:tcPr>
          <w:p>
            <w:pPr>
              <w:spacing w:line="360" w:lineRule="auto"/>
              <w:ind w:firstLine="420"/>
              <w:textAlignment w:val="baseline"/>
              <w:rPr>
                <w:rFonts w:ascii="仿宋" w:hAnsi="仿宋" w:eastAsia="仿宋" w:cs="仿宋"/>
                <w:sz w:val="24"/>
                <w:szCs w:val="24"/>
                <w:lang w:val="zh-CN"/>
              </w:rPr>
            </w:pPr>
          </w:p>
        </w:tc>
        <w:tc>
          <w:tcPr>
            <w:tcW w:w="776" w:type="dxa"/>
            <w:vAlign w:val="center"/>
          </w:tcPr>
          <w:p>
            <w:pPr>
              <w:spacing w:line="360" w:lineRule="auto"/>
              <w:ind w:firstLine="420"/>
              <w:textAlignment w:val="baseline"/>
              <w:rPr>
                <w:rFonts w:ascii="仿宋" w:hAnsi="仿宋" w:eastAsia="仿宋" w:cs="仿宋"/>
                <w:sz w:val="24"/>
                <w:szCs w:val="24"/>
                <w:lang w:val="zh-CN"/>
              </w:rPr>
            </w:pPr>
          </w:p>
        </w:tc>
        <w:tc>
          <w:tcPr>
            <w:tcW w:w="3383" w:type="dxa"/>
            <w:vAlign w:val="center"/>
          </w:tcPr>
          <w:p>
            <w:pPr>
              <w:spacing w:line="360" w:lineRule="auto"/>
              <w:ind w:firstLine="420"/>
              <w:textAlignment w:val="baseline"/>
              <w:rPr>
                <w:rFonts w:ascii="仿宋" w:hAnsi="仿宋" w:eastAsia="仿宋" w:cs="仿宋"/>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1147" w:type="dxa"/>
            <w:vMerge w:val="continue"/>
            <w:vAlign w:val="center"/>
          </w:tcPr>
          <w:p>
            <w:pPr>
              <w:spacing w:line="360" w:lineRule="auto"/>
              <w:ind w:firstLine="420"/>
              <w:jc w:val="center"/>
              <w:textAlignment w:val="baseline"/>
              <w:rPr>
                <w:rFonts w:ascii="仿宋" w:hAnsi="仿宋" w:eastAsia="仿宋" w:cs="仿宋"/>
                <w:sz w:val="24"/>
                <w:szCs w:val="24"/>
                <w:lang w:val="zh-CN"/>
              </w:rPr>
            </w:pPr>
          </w:p>
        </w:tc>
        <w:tc>
          <w:tcPr>
            <w:tcW w:w="2048" w:type="dxa"/>
            <w:vAlign w:val="center"/>
          </w:tcPr>
          <w:p>
            <w:pPr>
              <w:spacing w:line="360" w:lineRule="auto"/>
              <w:ind w:firstLine="420"/>
              <w:textAlignment w:val="baseline"/>
              <w:rPr>
                <w:rFonts w:ascii="仿宋" w:hAnsi="仿宋" w:eastAsia="仿宋" w:cs="仿宋"/>
                <w:sz w:val="24"/>
                <w:szCs w:val="24"/>
                <w:lang w:val="zh-CN"/>
              </w:rPr>
            </w:pPr>
          </w:p>
        </w:tc>
        <w:tc>
          <w:tcPr>
            <w:tcW w:w="2193" w:type="dxa"/>
            <w:vAlign w:val="center"/>
          </w:tcPr>
          <w:p>
            <w:pPr>
              <w:spacing w:line="360" w:lineRule="auto"/>
              <w:ind w:firstLine="420"/>
              <w:textAlignment w:val="baseline"/>
              <w:rPr>
                <w:rFonts w:ascii="仿宋" w:hAnsi="仿宋" w:eastAsia="仿宋" w:cs="仿宋"/>
                <w:sz w:val="24"/>
                <w:szCs w:val="24"/>
                <w:lang w:val="zh-CN"/>
              </w:rPr>
            </w:pPr>
            <w:r>
              <w:rPr>
                <w:rFonts w:hint="eastAsia" w:ascii="仿宋" w:hAnsi="仿宋" w:eastAsia="仿宋" w:cs="仿宋"/>
                <w:sz w:val="24"/>
                <w:szCs w:val="24"/>
                <w:lang w:val="zh-CN"/>
              </w:rPr>
              <w:t>……</w:t>
            </w:r>
          </w:p>
        </w:tc>
        <w:tc>
          <w:tcPr>
            <w:tcW w:w="776" w:type="dxa"/>
            <w:vAlign w:val="center"/>
          </w:tcPr>
          <w:p>
            <w:pPr>
              <w:spacing w:line="360" w:lineRule="auto"/>
              <w:ind w:firstLine="420"/>
              <w:textAlignment w:val="baseline"/>
              <w:rPr>
                <w:rFonts w:ascii="仿宋" w:hAnsi="仿宋" w:eastAsia="仿宋" w:cs="仿宋"/>
                <w:sz w:val="24"/>
                <w:szCs w:val="24"/>
                <w:lang w:val="zh-CN"/>
              </w:rPr>
            </w:pPr>
          </w:p>
        </w:tc>
        <w:tc>
          <w:tcPr>
            <w:tcW w:w="3383" w:type="dxa"/>
            <w:vAlign w:val="center"/>
          </w:tcPr>
          <w:p>
            <w:pPr>
              <w:spacing w:line="360" w:lineRule="auto"/>
              <w:ind w:firstLine="420"/>
              <w:textAlignment w:val="baseline"/>
              <w:rPr>
                <w:rFonts w:ascii="仿宋" w:hAnsi="仿宋" w:eastAsia="仿宋" w:cs="仿宋"/>
                <w:sz w:val="24"/>
                <w:szCs w:val="24"/>
                <w:lang w:val="zh-CN"/>
              </w:rPr>
            </w:pPr>
          </w:p>
        </w:tc>
      </w:tr>
    </w:tbl>
    <w:p>
      <w:pPr>
        <w:tabs>
          <w:tab w:val="left" w:pos="142"/>
        </w:tabs>
        <w:spacing w:line="360" w:lineRule="auto"/>
        <w:ind w:firstLine="480" w:firstLineChars="200"/>
        <w:jc w:val="left"/>
        <w:textAlignment w:val="baseline"/>
        <w:rPr>
          <w:rFonts w:ascii="仿宋" w:hAnsi="仿宋" w:eastAsia="仿宋" w:cs="仿宋"/>
          <w:sz w:val="24"/>
          <w:szCs w:val="24"/>
        </w:rPr>
      </w:pPr>
    </w:p>
    <w:p>
      <w:pPr>
        <w:tabs>
          <w:tab w:val="left" w:pos="142"/>
        </w:tabs>
        <w:spacing w:line="360" w:lineRule="auto"/>
        <w:ind w:firstLine="480" w:firstLineChars="200"/>
        <w:jc w:val="left"/>
        <w:textAlignment w:val="baseline"/>
        <w:rPr>
          <w:rFonts w:ascii="仿宋" w:hAnsi="仿宋" w:eastAsia="仿宋" w:cs="仿宋"/>
          <w:sz w:val="24"/>
          <w:szCs w:val="24"/>
        </w:rPr>
      </w:pPr>
      <w:r>
        <w:rPr>
          <w:rFonts w:hint="eastAsia" w:ascii="仿宋" w:hAnsi="仿宋" w:eastAsia="仿宋" w:cs="仿宋"/>
          <w:sz w:val="24"/>
          <w:szCs w:val="24"/>
        </w:rPr>
        <w:t>磋商单位全称（公章):</w:t>
      </w:r>
    </w:p>
    <w:p>
      <w:pPr>
        <w:tabs>
          <w:tab w:val="left" w:pos="142"/>
        </w:tabs>
        <w:spacing w:line="360" w:lineRule="auto"/>
        <w:ind w:firstLine="480" w:firstLineChars="200"/>
        <w:jc w:val="left"/>
        <w:textAlignment w:val="baseline"/>
        <w:rPr>
          <w:rFonts w:ascii="仿宋" w:hAnsi="仿宋" w:eastAsia="仿宋" w:cs="仿宋"/>
          <w:sz w:val="24"/>
          <w:szCs w:val="24"/>
        </w:rPr>
      </w:pPr>
      <w:r>
        <w:rPr>
          <w:rFonts w:hint="eastAsia" w:ascii="仿宋" w:hAnsi="仿宋" w:eastAsia="仿宋" w:cs="仿宋"/>
          <w:sz w:val="24"/>
          <w:szCs w:val="24"/>
        </w:rPr>
        <w:t xml:space="preserve">法定代表人（授权代表）签章：      </w:t>
      </w:r>
    </w:p>
    <w:p>
      <w:pPr>
        <w:tabs>
          <w:tab w:val="left" w:pos="142"/>
        </w:tabs>
        <w:spacing w:line="360" w:lineRule="auto"/>
        <w:ind w:firstLine="480" w:firstLineChars="200"/>
        <w:jc w:val="left"/>
        <w:textAlignment w:val="baseline"/>
        <w:rPr>
          <w:rFonts w:ascii="仿宋" w:hAnsi="仿宋" w:eastAsia="仿宋" w:cs="仿宋"/>
          <w:b/>
          <w:bCs/>
          <w:color w:val="000000"/>
          <w:sz w:val="28"/>
          <w:szCs w:val="28"/>
        </w:rPr>
      </w:pPr>
      <w:r>
        <w:rPr>
          <w:rFonts w:hint="eastAsia" w:ascii="仿宋" w:hAnsi="仿宋" w:eastAsia="仿宋" w:cs="仿宋"/>
          <w:sz w:val="24"/>
          <w:szCs w:val="24"/>
        </w:rPr>
        <w:t>日期：</w:t>
      </w:r>
      <w:r>
        <w:rPr>
          <w:rFonts w:hint="eastAsia" w:ascii="仿宋" w:hAnsi="仿宋" w:eastAsia="仿宋" w:cs="仿宋"/>
          <w:b/>
          <w:bCs/>
          <w:color w:val="000000"/>
          <w:sz w:val="28"/>
          <w:szCs w:val="28"/>
        </w:rPr>
        <w:br w:type="page"/>
      </w:r>
    </w:p>
    <w:p>
      <w:pPr>
        <w:pStyle w:val="45"/>
        <w:numPr>
          <w:ilvl w:val="0"/>
          <w:numId w:val="0"/>
        </w:numPr>
        <w:spacing w:line="360" w:lineRule="auto"/>
        <w:jc w:val="center"/>
        <w:textAlignment w:val="baseline"/>
        <w:rPr>
          <w:rFonts w:ascii="仿宋" w:hAnsi="仿宋" w:eastAsia="仿宋" w:cs="仿宋"/>
          <w:color w:val="000000"/>
          <w:sz w:val="32"/>
          <w:szCs w:val="32"/>
        </w:rPr>
      </w:pPr>
      <w:bookmarkStart w:id="180" w:name="_Toc11377"/>
      <w:bookmarkStart w:id="181" w:name="_Toc25170491"/>
      <w:bookmarkStart w:id="182" w:name="_Toc27795"/>
      <w:bookmarkStart w:id="183" w:name="_Toc2051"/>
      <w:r>
        <w:rPr>
          <w:rFonts w:hint="eastAsia" w:ascii="仿宋" w:hAnsi="仿宋" w:eastAsia="仿宋" w:cs="仿宋"/>
          <w:color w:val="000000"/>
          <w:sz w:val="32"/>
          <w:szCs w:val="32"/>
        </w:rPr>
        <w:t>九、</w:t>
      </w:r>
      <w:bookmarkEnd w:id="159"/>
      <w:bookmarkEnd w:id="160"/>
      <w:bookmarkEnd w:id="180"/>
      <w:bookmarkEnd w:id="181"/>
      <w:bookmarkEnd w:id="182"/>
      <w:bookmarkStart w:id="184" w:name="_Toc3621"/>
      <w:bookmarkStart w:id="185" w:name="_Toc5613"/>
      <w:bookmarkStart w:id="186" w:name="_Toc12366"/>
      <w:bookmarkStart w:id="187" w:name="_Toc818"/>
      <w:r>
        <w:rPr>
          <w:rFonts w:hint="eastAsia" w:ascii="仿宋" w:hAnsi="仿宋" w:eastAsia="仿宋" w:cs="仿宋"/>
          <w:color w:val="000000"/>
          <w:sz w:val="32"/>
          <w:szCs w:val="32"/>
        </w:rPr>
        <w:t>相关附表格式</w:t>
      </w:r>
      <w:bookmarkEnd w:id="183"/>
      <w:bookmarkEnd w:id="184"/>
      <w:bookmarkEnd w:id="185"/>
      <w:bookmarkEnd w:id="186"/>
      <w:bookmarkEnd w:id="187"/>
    </w:p>
    <w:p>
      <w:pPr>
        <w:pStyle w:val="4"/>
        <w:numPr>
          <w:ilvl w:val="1"/>
          <w:numId w:val="0"/>
        </w:numPr>
        <w:spacing w:before="0" w:after="0" w:line="360" w:lineRule="auto"/>
        <w:ind w:firstLine="562" w:firstLineChars="200"/>
        <w:textAlignment w:val="baseline"/>
        <w:rPr>
          <w:rFonts w:ascii="仿宋" w:hAnsi="仿宋" w:eastAsia="仿宋" w:cs="仿宋"/>
          <w:sz w:val="28"/>
          <w:szCs w:val="28"/>
        </w:rPr>
      </w:pPr>
      <w:bookmarkStart w:id="188" w:name="_Toc30587"/>
      <w:bookmarkStart w:id="189" w:name="_Toc7059"/>
      <w:bookmarkStart w:id="190" w:name="_Toc26911"/>
      <w:r>
        <w:rPr>
          <w:rFonts w:hint="eastAsia" w:ascii="仿宋" w:hAnsi="仿宋" w:eastAsia="仿宋" w:cs="仿宋"/>
          <w:sz w:val="28"/>
          <w:szCs w:val="28"/>
        </w:rPr>
        <w:t>附 件1: 法人授权委托书</w:t>
      </w:r>
      <w:bookmarkEnd w:id="188"/>
      <w:bookmarkEnd w:id="189"/>
      <w:bookmarkEnd w:id="190"/>
    </w:p>
    <w:p>
      <w:pPr>
        <w:spacing w:line="360" w:lineRule="auto"/>
        <w:textAlignment w:val="baseline"/>
        <w:rPr>
          <w:rFonts w:ascii="仿宋" w:hAnsi="仿宋" w:eastAsia="仿宋" w:cs="仿宋"/>
          <w:color w:val="000000"/>
          <w:sz w:val="24"/>
          <w:szCs w:val="24"/>
        </w:rPr>
      </w:pPr>
      <w:r>
        <w:rPr>
          <w:rFonts w:hint="eastAsia" w:ascii="仿宋" w:hAnsi="仿宋" w:eastAsia="仿宋" w:cs="仿宋"/>
          <w:color w:val="000000"/>
          <w:sz w:val="24"/>
          <w:szCs w:val="24"/>
        </w:rPr>
        <w:t>南京达琛鑫工程咨询有限公司：</w:t>
      </w:r>
    </w:p>
    <w:p>
      <w:pPr>
        <w:spacing w:line="360" w:lineRule="auto"/>
        <w:textAlignment w:val="baseline"/>
        <w:rPr>
          <w:rFonts w:ascii="仿宋" w:hAnsi="仿宋" w:eastAsia="仿宋" w:cs="仿宋"/>
          <w:color w:val="000000"/>
          <w:sz w:val="24"/>
          <w:szCs w:val="24"/>
        </w:rPr>
      </w:pPr>
      <w:r>
        <w:rPr>
          <w:rFonts w:hint="eastAsia" w:ascii="仿宋" w:hAnsi="仿宋" w:eastAsia="仿宋" w:cs="仿宋"/>
          <w:color w:val="000000"/>
          <w:sz w:val="24"/>
          <w:szCs w:val="24"/>
        </w:rPr>
        <w:t xml:space="preserve">  本授权书宣告：</w:t>
      </w:r>
    </w:p>
    <w:p>
      <w:pPr>
        <w:spacing w:line="360" w:lineRule="auto"/>
        <w:textAlignment w:val="baseline"/>
        <w:rPr>
          <w:rFonts w:ascii="仿宋" w:hAnsi="仿宋" w:eastAsia="仿宋" w:cs="仿宋"/>
          <w:color w:val="000000"/>
          <w:sz w:val="24"/>
          <w:szCs w:val="24"/>
        </w:rPr>
      </w:pPr>
      <w:r>
        <w:rPr>
          <w:rFonts w:hint="eastAsia" w:ascii="仿宋" w:hAnsi="仿宋" w:eastAsia="仿宋" w:cs="仿宋"/>
          <w:color w:val="000000"/>
          <w:sz w:val="24"/>
          <w:szCs w:val="24"/>
        </w:rPr>
        <w:t xml:space="preserve">   委托单位：</w:t>
      </w:r>
      <w:r>
        <w:rPr>
          <w:rFonts w:hint="eastAsia" w:ascii="仿宋" w:hAnsi="仿宋" w:eastAsia="仿宋" w:cs="仿宋"/>
          <w:color w:val="000000"/>
          <w:sz w:val="24"/>
          <w:szCs w:val="24"/>
          <w:u w:val="single" w:color="000000"/>
        </w:rPr>
        <w:t xml:space="preserve">                    </w:t>
      </w:r>
      <w:r>
        <w:rPr>
          <w:rFonts w:hint="eastAsia" w:ascii="仿宋" w:hAnsi="仿宋" w:eastAsia="仿宋" w:cs="仿宋"/>
          <w:color w:val="000000"/>
          <w:sz w:val="24"/>
          <w:szCs w:val="24"/>
        </w:rPr>
        <w:t xml:space="preserve"> 地    址：</w:t>
      </w:r>
      <w:r>
        <w:rPr>
          <w:rFonts w:hint="eastAsia" w:ascii="仿宋" w:hAnsi="仿宋" w:eastAsia="仿宋" w:cs="仿宋"/>
          <w:color w:val="000000"/>
          <w:sz w:val="24"/>
          <w:szCs w:val="24"/>
          <w:u w:val="single" w:color="000000"/>
        </w:rPr>
        <w:t xml:space="preserve">                      </w:t>
      </w:r>
    </w:p>
    <w:p>
      <w:pPr>
        <w:spacing w:line="360" w:lineRule="auto"/>
        <w:textAlignment w:val="baseline"/>
        <w:rPr>
          <w:rFonts w:ascii="仿宋" w:hAnsi="仿宋" w:eastAsia="仿宋" w:cs="仿宋"/>
          <w:color w:val="000000"/>
          <w:sz w:val="24"/>
          <w:szCs w:val="24"/>
        </w:rPr>
      </w:pPr>
      <w:r>
        <w:rPr>
          <w:rFonts w:hint="eastAsia" w:ascii="仿宋" w:hAnsi="仿宋" w:eastAsia="仿宋" w:cs="仿宋"/>
          <w:color w:val="000000"/>
          <w:sz w:val="24"/>
          <w:szCs w:val="24"/>
        </w:rPr>
        <w:t xml:space="preserve">   法定代表人：</w:t>
      </w:r>
      <w:r>
        <w:rPr>
          <w:rFonts w:hint="eastAsia" w:ascii="仿宋" w:hAnsi="仿宋" w:eastAsia="仿宋" w:cs="仿宋"/>
          <w:color w:val="000000"/>
          <w:sz w:val="24"/>
          <w:szCs w:val="24"/>
          <w:u w:val="single" w:color="000000"/>
        </w:rPr>
        <w:t xml:space="preserve">                  </w:t>
      </w:r>
      <w:r>
        <w:rPr>
          <w:rFonts w:hint="eastAsia" w:ascii="仿宋" w:hAnsi="仿宋" w:eastAsia="仿宋" w:cs="仿宋"/>
          <w:color w:val="000000"/>
          <w:sz w:val="24"/>
          <w:szCs w:val="24"/>
        </w:rPr>
        <w:t xml:space="preserve"> 受托人：</w:t>
      </w:r>
      <w:r>
        <w:rPr>
          <w:rFonts w:hint="eastAsia" w:ascii="仿宋" w:hAnsi="仿宋" w:eastAsia="仿宋" w:cs="仿宋"/>
          <w:color w:val="000000"/>
          <w:sz w:val="24"/>
          <w:szCs w:val="24"/>
          <w:u w:val="single" w:color="000000"/>
        </w:rPr>
        <w:t xml:space="preserve">                         </w:t>
      </w:r>
    </w:p>
    <w:p>
      <w:pPr>
        <w:spacing w:line="360" w:lineRule="auto"/>
        <w:textAlignment w:val="baseline"/>
        <w:rPr>
          <w:rFonts w:ascii="仿宋" w:hAnsi="仿宋" w:eastAsia="仿宋" w:cs="仿宋"/>
          <w:color w:val="000000"/>
          <w:sz w:val="24"/>
          <w:szCs w:val="24"/>
        </w:rPr>
      </w:pPr>
      <w:r>
        <w:rPr>
          <w:rFonts w:hint="eastAsia" w:ascii="仿宋" w:hAnsi="仿宋" w:eastAsia="仿宋" w:cs="仿宋"/>
          <w:color w:val="000000"/>
          <w:sz w:val="24"/>
          <w:szCs w:val="24"/>
        </w:rPr>
        <w:t xml:space="preserve">   出生日期：</w:t>
      </w:r>
      <w:r>
        <w:rPr>
          <w:rFonts w:hint="eastAsia" w:ascii="仿宋" w:hAnsi="仿宋" w:eastAsia="仿宋" w:cs="仿宋"/>
          <w:color w:val="000000"/>
          <w:sz w:val="24"/>
          <w:szCs w:val="24"/>
          <w:u w:val="single" w:color="000000"/>
        </w:rPr>
        <w:t xml:space="preserve">   </w:t>
      </w:r>
      <w:r>
        <w:rPr>
          <w:rFonts w:hint="eastAsia" w:ascii="仿宋" w:hAnsi="仿宋" w:eastAsia="仿宋" w:cs="仿宋"/>
          <w:color w:val="000000"/>
          <w:sz w:val="24"/>
          <w:szCs w:val="24"/>
        </w:rPr>
        <w:t>年</w:t>
      </w:r>
      <w:r>
        <w:rPr>
          <w:rFonts w:hint="eastAsia" w:ascii="仿宋" w:hAnsi="仿宋" w:eastAsia="仿宋" w:cs="仿宋"/>
          <w:color w:val="000000"/>
          <w:sz w:val="24"/>
          <w:szCs w:val="24"/>
          <w:u w:val="single" w:color="000000"/>
        </w:rPr>
        <w:t xml:space="preserve">    </w:t>
      </w:r>
      <w:r>
        <w:rPr>
          <w:rFonts w:hint="eastAsia" w:ascii="仿宋" w:hAnsi="仿宋" w:eastAsia="仿宋" w:cs="仿宋"/>
          <w:color w:val="000000"/>
          <w:sz w:val="24"/>
          <w:szCs w:val="24"/>
        </w:rPr>
        <w:t>月</w:t>
      </w:r>
      <w:r>
        <w:rPr>
          <w:rFonts w:hint="eastAsia" w:ascii="仿宋" w:hAnsi="仿宋" w:eastAsia="仿宋" w:cs="仿宋"/>
          <w:color w:val="000000"/>
          <w:sz w:val="24"/>
          <w:szCs w:val="24"/>
          <w:u w:val="single" w:color="000000"/>
        </w:rPr>
        <w:t xml:space="preserve">    </w:t>
      </w:r>
      <w:r>
        <w:rPr>
          <w:rFonts w:hint="eastAsia" w:ascii="仿宋" w:hAnsi="仿宋" w:eastAsia="仿宋" w:cs="仿宋"/>
          <w:color w:val="000000"/>
          <w:sz w:val="24"/>
          <w:szCs w:val="24"/>
        </w:rPr>
        <w:t>日</w:t>
      </w:r>
    </w:p>
    <w:p>
      <w:pPr>
        <w:spacing w:line="360" w:lineRule="auto"/>
        <w:textAlignment w:val="baseline"/>
        <w:rPr>
          <w:rFonts w:ascii="仿宋" w:hAnsi="仿宋" w:eastAsia="仿宋" w:cs="仿宋"/>
          <w:color w:val="000000"/>
          <w:sz w:val="24"/>
          <w:szCs w:val="24"/>
        </w:rPr>
      </w:pPr>
      <w:r>
        <w:rPr>
          <w:rFonts w:hint="eastAsia" w:ascii="仿宋" w:hAnsi="仿宋" w:eastAsia="仿宋" w:cs="仿宋"/>
          <w:color w:val="000000"/>
          <w:sz w:val="24"/>
          <w:szCs w:val="24"/>
        </w:rPr>
        <w:t xml:space="preserve">   所在单位：</w:t>
      </w:r>
      <w:r>
        <w:rPr>
          <w:rFonts w:hint="eastAsia" w:ascii="仿宋" w:hAnsi="仿宋" w:eastAsia="仿宋" w:cs="仿宋"/>
          <w:color w:val="000000"/>
          <w:sz w:val="24"/>
          <w:szCs w:val="24"/>
          <w:u w:val="single" w:color="000000"/>
        </w:rPr>
        <w:t xml:space="preserve">                  </w:t>
      </w:r>
      <w:r>
        <w:rPr>
          <w:rFonts w:hint="eastAsia" w:ascii="仿宋" w:hAnsi="仿宋" w:eastAsia="仿宋" w:cs="仿宋"/>
          <w:color w:val="000000"/>
          <w:sz w:val="24"/>
          <w:szCs w:val="24"/>
        </w:rPr>
        <w:t xml:space="preserve">   职务：</w:t>
      </w:r>
      <w:r>
        <w:rPr>
          <w:rFonts w:hint="eastAsia" w:ascii="仿宋" w:hAnsi="仿宋" w:eastAsia="仿宋" w:cs="仿宋"/>
          <w:color w:val="000000"/>
          <w:sz w:val="24"/>
          <w:szCs w:val="24"/>
          <w:u w:val="single" w:color="000000"/>
        </w:rPr>
        <w:t xml:space="preserve">                    </w:t>
      </w:r>
    </w:p>
    <w:p>
      <w:pPr>
        <w:spacing w:line="360" w:lineRule="auto"/>
        <w:textAlignment w:val="baseline"/>
        <w:rPr>
          <w:rFonts w:ascii="仿宋" w:hAnsi="仿宋" w:eastAsia="仿宋" w:cs="仿宋"/>
          <w:color w:val="000000"/>
          <w:sz w:val="24"/>
          <w:szCs w:val="24"/>
        </w:rPr>
      </w:pPr>
      <w:r>
        <w:rPr>
          <w:rFonts w:hint="eastAsia" w:ascii="仿宋" w:hAnsi="仿宋" w:eastAsia="仿宋" w:cs="仿宋"/>
          <w:color w:val="000000"/>
          <w:sz w:val="24"/>
          <w:szCs w:val="24"/>
        </w:rPr>
        <w:t xml:space="preserve">   身 份 证：</w:t>
      </w:r>
      <w:r>
        <w:rPr>
          <w:rFonts w:hint="eastAsia" w:ascii="仿宋" w:hAnsi="仿宋" w:eastAsia="仿宋" w:cs="仿宋"/>
          <w:color w:val="000000"/>
          <w:sz w:val="24"/>
          <w:szCs w:val="24"/>
          <w:u w:val="single" w:color="000000"/>
        </w:rPr>
        <w:t xml:space="preserve">                  </w:t>
      </w:r>
      <w:r>
        <w:rPr>
          <w:rFonts w:hint="eastAsia" w:ascii="仿宋" w:hAnsi="仿宋" w:eastAsia="仿宋" w:cs="仿宋"/>
          <w:color w:val="000000"/>
          <w:sz w:val="24"/>
          <w:szCs w:val="24"/>
        </w:rPr>
        <w:t xml:space="preserve">   联系方式: </w:t>
      </w:r>
      <w:r>
        <w:rPr>
          <w:rFonts w:hint="eastAsia" w:ascii="仿宋" w:hAnsi="仿宋" w:eastAsia="仿宋" w:cs="仿宋"/>
          <w:color w:val="000000"/>
          <w:sz w:val="24"/>
          <w:szCs w:val="24"/>
          <w:u w:val="single" w:color="000000"/>
        </w:rPr>
        <w:t xml:space="preserve">                     </w:t>
      </w:r>
    </w:p>
    <w:p>
      <w:pPr>
        <w:spacing w:line="360" w:lineRule="auto"/>
        <w:textAlignment w:val="baseline"/>
        <w:rPr>
          <w:rFonts w:ascii="仿宋" w:hAnsi="仿宋" w:eastAsia="仿宋" w:cs="仿宋"/>
          <w:color w:val="000000"/>
          <w:sz w:val="24"/>
          <w:szCs w:val="24"/>
        </w:rPr>
      </w:pPr>
    </w:p>
    <w:p>
      <w:pPr>
        <w:spacing w:line="360" w:lineRule="auto"/>
        <w:ind w:firstLine="480" w:firstLineChars="200"/>
        <w:textAlignment w:val="baseline"/>
        <w:rPr>
          <w:rFonts w:ascii="仿宋" w:hAnsi="仿宋" w:eastAsia="仿宋" w:cs="仿宋"/>
          <w:color w:val="000000"/>
          <w:sz w:val="24"/>
          <w:szCs w:val="24"/>
        </w:rPr>
      </w:pPr>
      <w:r>
        <w:rPr>
          <w:rFonts w:hint="eastAsia" w:ascii="仿宋" w:hAnsi="仿宋" w:eastAsia="仿宋" w:cs="仿宋"/>
          <w:color w:val="000000"/>
          <w:sz w:val="24"/>
          <w:szCs w:val="24"/>
        </w:rPr>
        <w:t>兹委托受托人合法地代表我单位参加南京达琛鑫工程咨询有限公司组织的（采购编号为：</w:t>
      </w:r>
      <w:r>
        <w:rPr>
          <w:rFonts w:hint="eastAsia" w:ascii="仿宋" w:hAnsi="仿宋" w:eastAsia="仿宋" w:cs="仿宋"/>
          <w:sz w:val="24"/>
          <w:szCs w:val="24"/>
        </w:rPr>
        <w:t>NJDCX-202311220826</w:t>
      </w:r>
      <w:r>
        <w:rPr>
          <w:rFonts w:hint="eastAsia" w:ascii="仿宋" w:hAnsi="仿宋" w:eastAsia="仿宋" w:cs="仿宋"/>
          <w:color w:val="000000"/>
          <w:sz w:val="24"/>
          <w:szCs w:val="24"/>
        </w:rPr>
        <w:t>）</w:t>
      </w:r>
      <w:r>
        <w:rPr>
          <w:rFonts w:hint="eastAsia" w:ascii="仿宋" w:hAnsi="仿宋" w:eastAsia="仿宋" w:cs="仿宋"/>
          <w:sz w:val="24"/>
          <w:szCs w:val="24"/>
        </w:rPr>
        <w:t>江苏法院人事管理系统运维服务</w:t>
      </w:r>
      <w:r>
        <w:rPr>
          <w:rFonts w:hint="eastAsia" w:ascii="仿宋" w:hAnsi="仿宋" w:eastAsia="仿宋" w:cs="仿宋"/>
          <w:color w:val="000000"/>
          <w:sz w:val="24"/>
          <w:szCs w:val="24"/>
        </w:rPr>
        <w:t>的采购活动，受托人有权在该磋商活动中，以我单位的名义签署磋商函和磋商文件，与采购代理机构协商、澄清、解释，质疑，签订合同书并执行一切与此有关的事项。</w:t>
      </w:r>
    </w:p>
    <w:p>
      <w:pPr>
        <w:spacing w:line="360" w:lineRule="auto"/>
        <w:ind w:firstLine="480" w:firstLineChars="200"/>
        <w:textAlignment w:val="baseline"/>
        <w:rPr>
          <w:rFonts w:ascii="仿宋" w:hAnsi="仿宋" w:eastAsia="仿宋" w:cs="仿宋"/>
          <w:color w:val="000000"/>
          <w:sz w:val="24"/>
          <w:szCs w:val="24"/>
        </w:rPr>
      </w:pPr>
      <w:r>
        <w:rPr>
          <w:rFonts w:hint="eastAsia" w:ascii="仿宋" w:hAnsi="仿宋" w:eastAsia="仿宋" w:cs="仿宋"/>
          <w:color w:val="000000"/>
          <w:sz w:val="24"/>
          <w:szCs w:val="24"/>
        </w:rPr>
        <w:t>受托人在办理上述事宜过程中以其自己的名义所签署的所有文件我均予以承认。受托人无转委托权。</w:t>
      </w:r>
    </w:p>
    <w:p>
      <w:pPr>
        <w:spacing w:line="360" w:lineRule="auto"/>
        <w:ind w:firstLine="480" w:firstLineChars="200"/>
        <w:textAlignment w:val="baseline"/>
        <w:rPr>
          <w:rFonts w:ascii="仿宋" w:hAnsi="仿宋" w:eastAsia="仿宋" w:cs="仿宋"/>
          <w:color w:val="000000"/>
          <w:sz w:val="24"/>
          <w:szCs w:val="24"/>
        </w:rPr>
      </w:pPr>
      <w:r>
        <w:rPr>
          <w:rFonts w:hint="eastAsia" w:ascii="仿宋" w:hAnsi="仿宋" w:eastAsia="仿宋" w:cs="仿宋"/>
          <w:color w:val="000000"/>
          <w:sz w:val="24"/>
          <w:szCs w:val="24"/>
        </w:rPr>
        <w:t>委托期限：至上述事宜处理完毕止。</w:t>
      </w:r>
    </w:p>
    <w:p>
      <w:pPr>
        <w:spacing w:line="360" w:lineRule="auto"/>
        <w:jc w:val="left"/>
        <w:textAlignment w:val="baseline"/>
        <w:rPr>
          <w:rFonts w:ascii="仿宋" w:hAnsi="仿宋" w:eastAsia="仿宋" w:cs="仿宋"/>
          <w:color w:val="000000"/>
          <w:sz w:val="24"/>
          <w:szCs w:val="24"/>
        </w:rPr>
      </w:pPr>
    </w:p>
    <w:p>
      <w:pPr>
        <w:spacing w:line="360" w:lineRule="auto"/>
        <w:jc w:val="right"/>
        <w:textAlignment w:val="baseline"/>
        <w:rPr>
          <w:rFonts w:ascii="仿宋" w:hAnsi="仿宋" w:eastAsia="仿宋" w:cs="仿宋"/>
          <w:color w:val="000000"/>
          <w:sz w:val="24"/>
          <w:szCs w:val="24"/>
        </w:rPr>
      </w:pPr>
      <w:r>
        <w:rPr>
          <w:rFonts w:hint="eastAsia" w:ascii="仿宋" w:hAnsi="仿宋" w:eastAsia="仿宋" w:cs="仿宋"/>
          <w:color w:val="000000"/>
          <w:sz w:val="24"/>
          <w:szCs w:val="24"/>
        </w:rPr>
        <w:t>委托单位   （公章）</w:t>
      </w:r>
    </w:p>
    <w:p>
      <w:pPr>
        <w:spacing w:line="360" w:lineRule="auto"/>
        <w:ind w:left="4080" w:hanging="4080" w:hangingChars="1700"/>
        <w:jc w:val="right"/>
        <w:textAlignment w:val="baseline"/>
        <w:rPr>
          <w:rFonts w:ascii="仿宋" w:hAnsi="仿宋" w:eastAsia="仿宋" w:cs="仿宋"/>
          <w:color w:val="000000"/>
          <w:sz w:val="24"/>
          <w:szCs w:val="24"/>
        </w:rPr>
      </w:pPr>
      <w:r>
        <w:rPr>
          <w:rFonts w:hint="eastAsia" w:ascii="仿宋" w:hAnsi="仿宋" w:eastAsia="仿宋" w:cs="仿宋"/>
          <w:color w:val="000000"/>
          <w:sz w:val="24"/>
          <w:szCs w:val="24"/>
        </w:rPr>
        <w:t xml:space="preserve">    法定代表人（签字或盖章）</w:t>
      </w:r>
    </w:p>
    <w:p>
      <w:pPr>
        <w:spacing w:line="360" w:lineRule="auto"/>
        <w:ind w:left="4080" w:hanging="4080" w:hangingChars="1700"/>
        <w:jc w:val="right"/>
        <w:textAlignment w:val="baseline"/>
        <w:rPr>
          <w:rFonts w:ascii="仿宋" w:hAnsi="仿宋" w:eastAsia="仿宋" w:cs="仿宋"/>
          <w:color w:val="000000"/>
          <w:sz w:val="28"/>
          <w:szCs w:val="28"/>
        </w:rPr>
      </w:pPr>
      <w:r>
        <w:rPr>
          <w:rFonts w:hint="eastAsia" w:ascii="仿宋" w:hAnsi="仿宋" w:eastAsia="仿宋" w:cs="仿宋"/>
          <w:color w:val="000000"/>
          <w:sz w:val="24"/>
          <w:szCs w:val="24"/>
        </w:rPr>
        <w:t>2023年  月  日</w:t>
      </w:r>
    </w:p>
    <w:p>
      <w:pPr>
        <w:spacing w:line="360" w:lineRule="auto"/>
        <w:textAlignment w:val="baseline"/>
        <w:rPr>
          <w:rFonts w:ascii="仿宋" w:hAnsi="仿宋" w:eastAsia="仿宋" w:cs="仿宋"/>
          <w:color w:val="000000"/>
          <w:sz w:val="24"/>
          <w:szCs w:val="24"/>
        </w:rPr>
      </w:pPr>
      <w:r>
        <w:rPr>
          <w:rFonts w:hint="eastAsia" w:ascii="仿宋" w:hAnsi="仿宋" w:eastAsia="仿宋" w:cs="仿宋"/>
          <w:color w:val="000000"/>
          <w:sz w:val="24"/>
          <w:szCs w:val="24"/>
        </w:rPr>
        <w:t>备注：</w:t>
      </w:r>
    </w:p>
    <w:p>
      <w:pPr>
        <w:spacing w:line="360" w:lineRule="auto"/>
        <w:textAlignment w:val="baseline"/>
        <w:rPr>
          <w:rFonts w:ascii="仿宋" w:hAnsi="仿宋" w:eastAsia="仿宋" w:cs="仿宋"/>
          <w:color w:val="000000"/>
          <w:sz w:val="24"/>
          <w:szCs w:val="24"/>
        </w:rPr>
      </w:pPr>
      <w:r>
        <w:rPr>
          <w:rFonts w:hint="eastAsia" w:ascii="仿宋" w:hAnsi="仿宋" w:eastAsia="仿宋" w:cs="仿宋"/>
          <w:color w:val="000000"/>
          <w:sz w:val="24"/>
          <w:szCs w:val="24"/>
        </w:rPr>
        <w:t>①供应商授权代表须在磋商截止时间前持授权书原件及授权代表身份证件办理签名报到。（磋商文件中须附授权代表及法人的身份证复印件）</w:t>
      </w:r>
    </w:p>
    <w:p>
      <w:pPr>
        <w:spacing w:line="360" w:lineRule="auto"/>
        <w:textAlignment w:val="baseline"/>
        <w:rPr>
          <w:rFonts w:ascii="仿宋" w:hAnsi="仿宋" w:eastAsia="仿宋" w:cs="仿宋"/>
          <w:color w:val="000000"/>
          <w:sz w:val="24"/>
          <w:szCs w:val="24"/>
        </w:rPr>
      </w:pPr>
      <w:r>
        <w:rPr>
          <w:rFonts w:hint="eastAsia" w:ascii="仿宋" w:hAnsi="仿宋" w:eastAsia="仿宋" w:cs="仿宋"/>
          <w:color w:val="000000"/>
          <w:sz w:val="24"/>
          <w:szCs w:val="24"/>
        </w:rPr>
        <w:t>②非授权代表办理上述事宜，采购人及代理机构将拒绝。</w:t>
      </w:r>
    </w:p>
    <w:p>
      <w:pPr>
        <w:spacing w:line="360" w:lineRule="auto"/>
        <w:textAlignment w:val="baseline"/>
        <w:rPr>
          <w:rFonts w:ascii="仿宋" w:hAnsi="仿宋" w:eastAsia="仿宋" w:cs="仿宋"/>
          <w:color w:val="000000"/>
          <w:sz w:val="24"/>
          <w:szCs w:val="24"/>
        </w:rPr>
      </w:pPr>
      <w:r>
        <w:rPr>
          <w:rFonts w:hint="eastAsia" w:ascii="仿宋" w:hAnsi="仿宋" w:eastAsia="仿宋" w:cs="仿宋"/>
          <w:color w:val="000000"/>
          <w:sz w:val="24"/>
          <w:szCs w:val="24"/>
        </w:rPr>
        <w:t>③供应商法定代表人直接参加磋商的，无须提供法人授权委托书，但须持本人身份证件及营业执照复印件办理相关手续。</w:t>
      </w:r>
    </w:p>
    <w:p>
      <w:pPr>
        <w:spacing w:line="360" w:lineRule="auto"/>
        <w:textAlignment w:val="baseline"/>
        <w:rPr>
          <w:rFonts w:ascii="仿宋" w:hAnsi="仿宋" w:eastAsia="仿宋" w:cs="仿宋"/>
          <w:b/>
          <w:bCs/>
          <w:color w:val="000000"/>
          <w:sz w:val="28"/>
          <w:szCs w:val="28"/>
        </w:rPr>
      </w:pPr>
      <w:r>
        <w:rPr>
          <w:rFonts w:hint="eastAsia" w:ascii="仿宋" w:hAnsi="仿宋" w:eastAsia="仿宋" w:cs="仿宋"/>
          <w:b/>
          <w:bCs/>
          <w:color w:val="000000"/>
          <w:sz w:val="28"/>
          <w:szCs w:val="28"/>
        </w:rPr>
        <w:br w:type="page"/>
      </w:r>
    </w:p>
    <w:p>
      <w:pPr>
        <w:pStyle w:val="4"/>
        <w:numPr>
          <w:ilvl w:val="1"/>
          <w:numId w:val="0"/>
        </w:numPr>
        <w:spacing w:before="0" w:after="0" w:line="360" w:lineRule="auto"/>
        <w:ind w:firstLine="562" w:firstLineChars="200"/>
        <w:textAlignment w:val="baseline"/>
        <w:rPr>
          <w:rFonts w:ascii="仿宋" w:hAnsi="仿宋" w:eastAsia="仿宋" w:cs="仿宋"/>
          <w:sz w:val="28"/>
          <w:szCs w:val="28"/>
        </w:rPr>
      </w:pPr>
      <w:bookmarkStart w:id="191" w:name="_Toc25170492"/>
      <w:bookmarkStart w:id="192" w:name="_Toc638"/>
      <w:bookmarkStart w:id="193" w:name="_Toc13645"/>
      <w:bookmarkStart w:id="194" w:name="_Toc15181"/>
      <w:bookmarkStart w:id="195" w:name="_Toc9284"/>
      <w:bookmarkStart w:id="196" w:name="_Toc9521"/>
      <w:bookmarkStart w:id="197" w:name="_Toc11246"/>
      <w:r>
        <w:rPr>
          <w:rFonts w:hint="eastAsia" w:ascii="仿宋" w:hAnsi="仿宋" w:eastAsia="仿宋" w:cs="仿宋"/>
          <w:sz w:val="28"/>
          <w:szCs w:val="28"/>
        </w:rPr>
        <w:t>附 件2: 具备履行合同所必需的设备和专业技术能力的书面声明</w:t>
      </w:r>
      <w:bookmarkEnd w:id="191"/>
      <w:bookmarkEnd w:id="192"/>
      <w:bookmarkEnd w:id="193"/>
      <w:bookmarkEnd w:id="194"/>
      <w:bookmarkEnd w:id="195"/>
      <w:bookmarkEnd w:id="196"/>
      <w:bookmarkEnd w:id="197"/>
    </w:p>
    <w:p>
      <w:pPr>
        <w:spacing w:line="360" w:lineRule="auto"/>
        <w:textAlignment w:val="baseline"/>
        <w:rPr>
          <w:rFonts w:ascii="仿宋" w:hAnsi="仿宋" w:eastAsia="仿宋" w:cs="仿宋"/>
          <w:color w:val="000000"/>
          <w:sz w:val="24"/>
          <w:szCs w:val="24"/>
        </w:rPr>
      </w:pPr>
    </w:p>
    <w:p>
      <w:pPr>
        <w:spacing w:line="360" w:lineRule="auto"/>
        <w:ind w:firstLine="492"/>
        <w:textAlignment w:val="baseline"/>
        <w:rPr>
          <w:rFonts w:ascii="仿宋" w:hAnsi="仿宋" w:eastAsia="仿宋" w:cs="仿宋"/>
          <w:color w:val="000000"/>
          <w:sz w:val="24"/>
          <w:szCs w:val="24"/>
        </w:rPr>
      </w:pPr>
      <w:r>
        <w:rPr>
          <w:rFonts w:hint="eastAsia" w:ascii="仿宋" w:hAnsi="仿宋" w:eastAsia="仿宋" w:cs="仿宋"/>
          <w:color w:val="000000"/>
          <w:sz w:val="24"/>
          <w:szCs w:val="24"/>
        </w:rPr>
        <w:t>我公司郑重声明：我公司具备履行本项采购合同所必需的设备和专业技术能力，为履行本项采购合同我公司具备如下主要设备和主要专业技术能力：</w:t>
      </w:r>
    </w:p>
    <w:p>
      <w:pPr>
        <w:spacing w:line="360" w:lineRule="auto"/>
        <w:ind w:firstLine="492"/>
        <w:textAlignment w:val="baseline"/>
        <w:rPr>
          <w:rFonts w:ascii="仿宋" w:hAnsi="仿宋" w:eastAsia="仿宋" w:cs="仿宋"/>
          <w:color w:val="000000"/>
          <w:sz w:val="24"/>
          <w:szCs w:val="24"/>
        </w:rPr>
      </w:pPr>
      <w:r>
        <w:rPr>
          <w:rFonts w:hint="eastAsia" w:ascii="仿宋" w:hAnsi="仿宋" w:eastAsia="仿宋" w:cs="仿宋"/>
          <w:color w:val="000000"/>
          <w:sz w:val="24"/>
          <w:szCs w:val="24"/>
        </w:rPr>
        <w:t>主要设备有：  。</w:t>
      </w:r>
    </w:p>
    <w:p>
      <w:pPr>
        <w:spacing w:line="360" w:lineRule="auto"/>
        <w:ind w:firstLine="492"/>
        <w:textAlignment w:val="baseline"/>
        <w:rPr>
          <w:rFonts w:ascii="仿宋" w:hAnsi="仿宋" w:eastAsia="仿宋" w:cs="仿宋"/>
          <w:color w:val="000000"/>
          <w:sz w:val="24"/>
          <w:szCs w:val="24"/>
        </w:rPr>
      </w:pPr>
      <w:r>
        <w:rPr>
          <w:rFonts w:hint="eastAsia" w:ascii="仿宋" w:hAnsi="仿宋" w:eastAsia="仿宋" w:cs="仿宋"/>
          <w:color w:val="000000"/>
          <w:sz w:val="24"/>
          <w:szCs w:val="24"/>
        </w:rPr>
        <w:t>主要专业技术能力有：   。</w:t>
      </w:r>
    </w:p>
    <w:p>
      <w:pPr>
        <w:spacing w:line="360" w:lineRule="auto"/>
        <w:textAlignment w:val="baseline"/>
        <w:rPr>
          <w:rFonts w:ascii="仿宋" w:hAnsi="仿宋" w:eastAsia="仿宋" w:cs="仿宋"/>
          <w:color w:val="000000"/>
          <w:sz w:val="24"/>
          <w:szCs w:val="24"/>
        </w:rPr>
      </w:pPr>
    </w:p>
    <w:p>
      <w:pPr>
        <w:spacing w:line="360" w:lineRule="auto"/>
        <w:textAlignment w:val="baseline"/>
        <w:rPr>
          <w:rFonts w:ascii="仿宋" w:hAnsi="仿宋" w:eastAsia="仿宋" w:cs="仿宋"/>
          <w:color w:val="000000"/>
          <w:sz w:val="24"/>
          <w:szCs w:val="24"/>
        </w:rPr>
      </w:pPr>
    </w:p>
    <w:p>
      <w:pPr>
        <w:pStyle w:val="47"/>
        <w:spacing w:line="360" w:lineRule="auto"/>
        <w:ind w:firstLine="5040" w:firstLineChars="2100"/>
        <w:textAlignment w:val="baseline"/>
        <w:rPr>
          <w:rFonts w:ascii="仿宋" w:hAnsi="仿宋" w:eastAsia="仿宋" w:cs="仿宋"/>
          <w:color w:val="000000"/>
        </w:rPr>
      </w:pPr>
      <w:r>
        <w:rPr>
          <w:rFonts w:hint="eastAsia" w:ascii="仿宋" w:hAnsi="仿宋" w:eastAsia="仿宋" w:cs="仿宋"/>
          <w:color w:val="000000"/>
        </w:rPr>
        <w:t>供应商全称（公章）：</w:t>
      </w:r>
    </w:p>
    <w:p>
      <w:pPr>
        <w:pStyle w:val="47"/>
        <w:spacing w:line="360" w:lineRule="auto"/>
        <w:ind w:firstLine="5040" w:firstLineChars="2100"/>
        <w:textAlignment w:val="baseline"/>
        <w:rPr>
          <w:rFonts w:ascii="仿宋" w:hAnsi="仿宋" w:eastAsia="仿宋" w:cs="仿宋"/>
          <w:color w:val="000000"/>
        </w:rPr>
      </w:pPr>
      <w:r>
        <w:rPr>
          <w:rFonts w:hint="eastAsia" w:ascii="仿宋" w:hAnsi="仿宋" w:eastAsia="仿宋" w:cs="仿宋"/>
          <w:color w:val="000000"/>
        </w:rPr>
        <w:t>法定代表人或授权代表签字：</w:t>
      </w:r>
    </w:p>
    <w:p>
      <w:pPr>
        <w:pStyle w:val="47"/>
        <w:spacing w:line="360" w:lineRule="auto"/>
        <w:ind w:firstLine="482"/>
        <w:textAlignment w:val="baseline"/>
        <w:rPr>
          <w:rFonts w:ascii="仿宋" w:hAnsi="仿宋" w:eastAsia="仿宋" w:cs="仿宋"/>
          <w:color w:val="000000"/>
        </w:rPr>
      </w:pPr>
      <w:r>
        <w:rPr>
          <w:rFonts w:hint="eastAsia" w:ascii="仿宋" w:hAnsi="仿宋" w:eastAsia="仿宋" w:cs="仿宋"/>
          <w:color w:val="000000"/>
        </w:rPr>
        <w:t xml:space="preserve">                                      日期： 年 月 日</w:t>
      </w:r>
      <w:r>
        <w:rPr>
          <w:rFonts w:hint="eastAsia" w:ascii="仿宋" w:hAnsi="仿宋" w:eastAsia="仿宋" w:cs="仿宋"/>
        </w:rPr>
        <w:br w:type="page"/>
      </w:r>
    </w:p>
    <w:p>
      <w:pPr>
        <w:pStyle w:val="4"/>
        <w:numPr>
          <w:ilvl w:val="1"/>
          <w:numId w:val="0"/>
        </w:numPr>
        <w:spacing w:before="0" w:after="0" w:line="360" w:lineRule="auto"/>
        <w:ind w:firstLine="562" w:firstLineChars="200"/>
        <w:textAlignment w:val="baseline"/>
        <w:rPr>
          <w:rFonts w:ascii="仿宋" w:hAnsi="仿宋" w:eastAsia="仿宋" w:cs="仿宋"/>
          <w:sz w:val="28"/>
          <w:szCs w:val="28"/>
        </w:rPr>
      </w:pPr>
      <w:bookmarkStart w:id="198" w:name="_Toc190"/>
      <w:bookmarkStart w:id="199" w:name="_Toc18188"/>
      <w:bookmarkStart w:id="200" w:name="_Toc26453"/>
      <w:bookmarkStart w:id="201" w:name="_Toc27202"/>
      <w:bookmarkStart w:id="202" w:name="_Toc10944"/>
      <w:bookmarkStart w:id="203" w:name="_Toc8503"/>
      <w:bookmarkStart w:id="204" w:name="_Toc22207"/>
      <w:bookmarkStart w:id="205" w:name="_Toc8679"/>
      <w:bookmarkStart w:id="206" w:name="_Toc25170493"/>
      <w:bookmarkStart w:id="207" w:name="_Toc30482"/>
      <w:r>
        <w:rPr>
          <w:rFonts w:hint="eastAsia" w:ascii="仿宋" w:hAnsi="仿宋" w:eastAsia="仿宋" w:cs="仿宋"/>
          <w:sz w:val="28"/>
          <w:szCs w:val="28"/>
        </w:rPr>
        <w:t>附 件</w:t>
      </w:r>
      <w:bookmarkEnd w:id="198"/>
      <w:bookmarkEnd w:id="199"/>
      <w:r>
        <w:rPr>
          <w:rFonts w:hint="eastAsia" w:ascii="仿宋" w:hAnsi="仿宋" w:eastAsia="仿宋" w:cs="仿宋"/>
          <w:sz w:val="28"/>
          <w:szCs w:val="28"/>
        </w:rPr>
        <w:t>3：三年内无重大违纪声明</w:t>
      </w:r>
      <w:bookmarkEnd w:id="200"/>
      <w:bookmarkEnd w:id="201"/>
      <w:bookmarkEnd w:id="202"/>
      <w:bookmarkEnd w:id="203"/>
      <w:bookmarkEnd w:id="204"/>
      <w:bookmarkEnd w:id="205"/>
      <w:bookmarkEnd w:id="206"/>
      <w:bookmarkEnd w:id="207"/>
    </w:p>
    <w:p>
      <w:pPr>
        <w:spacing w:line="360" w:lineRule="auto"/>
        <w:jc w:val="center"/>
        <w:textAlignment w:val="baseline"/>
        <w:rPr>
          <w:rFonts w:ascii="仿宋" w:hAnsi="仿宋" w:eastAsia="仿宋" w:cs="仿宋"/>
          <w:color w:val="000000"/>
          <w:sz w:val="36"/>
          <w:szCs w:val="36"/>
        </w:rPr>
      </w:pPr>
      <w:r>
        <w:rPr>
          <w:rFonts w:hint="eastAsia" w:ascii="仿宋" w:hAnsi="仿宋" w:eastAsia="仿宋" w:cs="仿宋"/>
          <w:b/>
          <w:bCs/>
          <w:color w:val="000000"/>
          <w:sz w:val="36"/>
          <w:szCs w:val="36"/>
        </w:rPr>
        <w:t>声  明</w:t>
      </w:r>
    </w:p>
    <w:p>
      <w:pPr>
        <w:spacing w:line="360" w:lineRule="auto"/>
        <w:ind w:firstLine="480" w:firstLineChars="200"/>
        <w:textAlignment w:val="baseline"/>
        <w:rPr>
          <w:rFonts w:ascii="仿宋" w:hAnsi="仿宋" w:eastAsia="仿宋" w:cs="仿宋"/>
          <w:color w:val="000000"/>
          <w:sz w:val="24"/>
          <w:szCs w:val="24"/>
        </w:rPr>
      </w:pPr>
      <w:r>
        <w:rPr>
          <w:rFonts w:hint="eastAsia" w:ascii="仿宋" w:hAnsi="仿宋" w:eastAsia="仿宋" w:cs="仿宋"/>
          <w:color w:val="000000"/>
          <w:sz w:val="24"/>
          <w:szCs w:val="24"/>
        </w:rPr>
        <w:t>我公司郑重声明：参加本次采购活动前3年内，我公司在经营活动中没有因违法经营受到刑事处罚或者责令停产停业、吊销许可证或者执照、较大数额罚款等行政处罚。若采购单位在本项目采购过程中发现我公司近三年内在经营活动中有重大违法记录，我公司将无条件地退出本项目的磋商采购，并承担因此引起的一切后果。</w:t>
      </w:r>
    </w:p>
    <w:p>
      <w:pPr>
        <w:spacing w:line="360" w:lineRule="auto"/>
        <w:textAlignment w:val="baseline"/>
        <w:rPr>
          <w:rFonts w:ascii="仿宋" w:hAnsi="仿宋" w:eastAsia="仿宋" w:cs="仿宋"/>
          <w:color w:val="000000"/>
          <w:sz w:val="24"/>
          <w:szCs w:val="24"/>
        </w:rPr>
      </w:pPr>
    </w:p>
    <w:p>
      <w:pPr>
        <w:spacing w:line="360" w:lineRule="auto"/>
        <w:textAlignment w:val="baseline"/>
        <w:rPr>
          <w:rFonts w:ascii="仿宋" w:hAnsi="仿宋" w:eastAsia="仿宋" w:cs="仿宋"/>
          <w:color w:val="000000"/>
          <w:sz w:val="24"/>
          <w:szCs w:val="24"/>
        </w:rPr>
      </w:pPr>
    </w:p>
    <w:p>
      <w:pPr>
        <w:spacing w:line="360" w:lineRule="auto"/>
        <w:textAlignment w:val="baseline"/>
        <w:rPr>
          <w:rFonts w:ascii="仿宋" w:hAnsi="仿宋" w:eastAsia="仿宋" w:cs="仿宋"/>
          <w:color w:val="000000"/>
          <w:sz w:val="24"/>
          <w:szCs w:val="24"/>
        </w:rPr>
      </w:pPr>
    </w:p>
    <w:p>
      <w:pPr>
        <w:spacing w:line="360" w:lineRule="auto"/>
        <w:textAlignment w:val="baseline"/>
        <w:rPr>
          <w:rFonts w:ascii="仿宋" w:hAnsi="仿宋" w:eastAsia="仿宋" w:cs="仿宋"/>
          <w:color w:val="000000"/>
          <w:sz w:val="24"/>
          <w:szCs w:val="24"/>
        </w:rPr>
      </w:pPr>
      <w:r>
        <w:rPr>
          <w:rFonts w:hint="eastAsia" w:ascii="仿宋" w:hAnsi="仿宋" w:eastAsia="仿宋" w:cs="仿宋"/>
          <w:color w:val="000000"/>
          <w:sz w:val="24"/>
          <w:szCs w:val="24"/>
        </w:rPr>
        <w:t xml:space="preserve">                                供应商全称（公章）：</w:t>
      </w:r>
    </w:p>
    <w:p>
      <w:pPr>
        <w:spacing w:line="360" w:lineRule="auto"/>
        <w:textAlignment w:val="baseline"/>
        <w:rPr>
          <w:rFonts w:ascii="仿宋" w:hAnsi="仿宋" w:eastAsia="仿宋" w:cs="仿宋"/>
          <w:color w:val="000000"/>
          <w:sz w:val="24"/>
          <w:szCs w:val="24"/>
        </w:rPr>
      </w:pPr>
      <w:r>
        <w:rPr>
          <w:rFonts w:hint="eastAsia" w:ascii="仿宋" w:hAnsi="仿宋" w:eastAsia="仿宋" w:cs="仿宋"/>
          <w:color w:val="000000"/>
          <w:sz w:val="24"/>
          <w:szCs w:val="24"/>
        </w:rPr>
        <w:t xml:space="preserve">                                法定代表人（授权代表）签章：</w:t>
      </w:r>
    </w:p>
    <w:p>
      <w:pPr>
        <w:spacing w:line="360" w:lineRule="auto"/>
        <w:textAlignment w:val="baseline"/>
        <w:rPr>
          <w:rFonts w:ascii="仿宋" w:hAnsi="仿宋" w:eastAsia="仿宋" w:cs="仿宋"/>
          <w:color w:val="000000"/>
          <w:sz w:val="24"/>
          <w:szCs w:val="24"/>
        </w:rPr>
      </w:pPr>
      <w:r>
        <w:rPr>
          <w:rFonts w:hint="eastAsia" w:ascii="仿宋" w:hAnsi="仿宋" w:eastAsia="仿宋" w:cs="仿宋"/>
          <w:color w:val="000000"/>
          <w:sz w:val="24"/>
          <w:szCs w:val="24"/>
        </w:rPr>
        <w:t xml:space="preserve">                                日期：</w:t>
      </w:r>
    </w:p>
    <w:p>
      <w:pPr>
        <w:spacing w:line="360" w:lineRule="auto"/>
        <w:textAlignment w:val="baseline"/>
        <w:rPr>
          <w:rFonts w:ascii="仿宋" w:hAnsi="仿宋" w:eastAsia="仿宋" w:cs="仿宋"/>
          <w:sz w:val="24"/>
          <w:szCs w:val="24"/>
        </w:rPr>
      </w:pPr>
    </w:p>
    <w:p>
      <w:pPr>
        <w:spacing w:line="360" w:lineRule="auto"/>
        <w:jc w:val="center"/>
        <w:textAlignment w:val="baseline"/>
        <w:rPr>
          <w:rFonts w:ascii="仿宋" w:hAnsi="仿宋" w:eastAsia="仿宋" w:cs="仿宋"/>
          <w:b/>
          <w:bCs/>
          <w:color w:val="000000"/>
          <w:sz w:val="24"/>
          <w:szCs w:val="24"/>
        </w:rPr>
      </w:pPr>
      <w:r>
        <w:rPr>
          <w:rFonts w:hint="eastAsia" w:ascii="仿宋" w:hAnsi="仿宋" w:eastAsia="仿宋" w:cs="仿宋"/>
          <w:b/>
          <w:bCs/>
          <w:color w:val="000000"/>
          <w:sz w:val="24"/>
          <w:szCs w:val="24"/>
        </w:rPr>
        <w:br w:type="page"/>
      </w:r>
    </w:p>
    <w:p>
      <w:pPr>
        <w:pStyle w:val="4"/>
        <w:numPr>
          <w:ilvl w:val="1"/>
          <w:numId w:val="0"/>
        </w:numPr>
        <w:spacing w:before="0" w:after="0" w:line="360" w:lineRule="auto"/>
        <w:ind w:firstLine="562" w:firstLineChars="200"/>
        <w:textAlignment w:val="baseline"/>
        <w:rPr>
          <w:rFonts w:ascii="仿宋" w:hAnsi="仿宋" w:eastAsia="仿宋" w:cs="仿宋"/>
        </w:rPr>
      </w:pPr>
      <w:bookmarkStart w:id="208" w:name="_Toc4338"/>
      <w:bookmarkStart w:id="209" w:name="_Toc16486"/>
      <w:bookmarkStart w:id="210" w:name="_Toc2697"/>
      <w:bookmarkStart w:id="211" w:name="_Toc26218"/>
      <w:bookmarkStart w:id="212" w:name="_Toc25019"/>
      <w:bookmarkStart w:id="213" w:name="_Toc8074"/>
      <w:bookmarkStart w:id="214" w:name="_Toc25170494"/>
      <w:bookmarkStart w:id="215" w:name="_Toc4301"/>
      <w:r>
        <w:rPr>
          <w:rFonts w:hint="eastAsia" w:ascii="仿宋" w:hAnsi="仿宋" w:eastAsia="仿宋" w:cs="仿宋"/>
          <w:sz w:val="28"/>
          <w:szCs w:val="28"/>
        </w:rPr>
        <w:t>附 件4：中小企业声明函格式</w:t>
      </w:r>
      <w:bookmarkEnd w:id="208"/>
      <w:bookmarkEnd w:id="209"/>
      <w:bookmarkEnd w:id="210"/>
      <w:bookmarkEnd w:id="211"/>
      <w:bookmarkEnd w:id="212"/>
      <w:bookmarkEnd w:id="213"/>
      <w:bookmarkEnd w:id="214"/>
    </w:p>
    <w:p>
      <w:pPr>
        <w:spacing w:line="360" w:lineRule="auto"/>
        <w:ind w:firstLine="240" w:firstLineChars="100"/>
        <w:jc w:val="center"/>
        <w:textAlignment w:val="baseline"/>
        <w:rPr>
          <w:rFonts w:ascii="仿宋" w:hAnsi="仿宋" w:eastAsia="仿宋" w:cs="仿宋"/>
          <w:sz w:val="24"/>
          <w:szCs w:val="24"/>
        </w:rPr>
      </w:pPr>
      <w:r>
        <w:rPr>
          <w:rFonts w:hint="eastAsia" w:ascii="仿宋" w:hAnsi="仿宋" w:eastAsia="仿宋" w:cs="仿宋"/>
          <w:sz w:val="24"/>
          <w:szCs w:val="24"/>
        </w:rPr>
        <w:t>中小企业声明函(如有)</w:t>
      </w:r>
    </w:p>
    <w:p>
      <w:pPr>
        <w:spacing w:line="360" w:lineRule="auto"/>
        <w:ind w:firstLine="480" w:firstLineChars="200"/>
        <w:textAlignment w:val="baseline"/>
        <w:rPr>
          <w:rFonts w:ascii="仿宋" w:hAnsi="仿宋" w:eastAsia="仿宋" w:cs="仿宋"/>
          <w:color w:val="000000"/>
          <w:sz w:val="24"/>
          <w:szCs w:val="24"/>
        </w:rPr>
      </w:pPr>
      <w:r>
        <w:rPr>
          <w:rFonts w:hint="eastAsia" w:ascii="仿宋" w:hAnsi="仿宋" w:eastAsia="仿宋" w:cs="仿宋"/>
          <w:color w:val="000000"/>
          <w:sz w:val="24"/>
          <w:szCs w:val="24"/>
        </w:rPr>
        <w:t>本公司（联合体）郑重声明，根据《政府采购促进中小企业发展管理办法》（财库〔2020）46 号）的规定，本公司（联合体）参加（单位名称）的（项目名称）采购活动，货物的提供单位全部为符合政策要求的中小企业（或者∶ 服务全部由符合政策要求的中小企业承接）。相关企业（含联合体中的中小企业、签订分包意向协议的中小企业）的具体情况如下∶</w:t>
      </w:r>
    </w:p>
    <w:p>
      <w:pPr>
        <w:spacing w:line="360" w:lineRule="auto"/>
        <w:ind w:firstLine="480" w:firstLineChars="200"/>
        <w:textAlignment w:val="baseline"/>
        <w:rPr>
          <w:rFonts w:ascii="仿宋" w:hAnsi="仿宋" w:eastAsia="仿宋" w:cs="仿宋"/>
          <w:color w:val="000000"/>
          <w:sz w:val="24"/>
          <w:szCs w:val="24"/>
        </w:rPr>
      </w:pPr>
      <w:r>
        <w:rPr>
          <w:rFonts w:hint="eastAsia" w:ascii="仿宋" w:hAnsi="仿宋" w:eastAsia="仿宋" w:cs="仿宋"/>
          <w:color w:val="000000"/>
          <w:sz w:val="24"/>
          <w:szCs w:val="24"/>
        </w:rPr>
        <w:t>1.（标的名称），属于（采购文件中明确的所属行业）;承建（承接）企业为（企业名称），从业人员___人，营业收入为____万元，资产总额为___万元，属于（中型企业、小型企业、微型企业）;</w:t>
      </w:r>
    </w:p>
    <w:p>
      <w:pPr>
        <w:spacing w:line="360" w:lineRule="auto"/>
        <w:ind w:firstLine="480" w:firstLineChars="200"/>
        <w:textAlignment w:val="baseline"/>
        <w:rPr>
          <w:rFonts w:ascii="仿宋" w:hAnsi="仿宋" w:eastAsia="仿宋" w:cs="仿宋"/>
          <w:color w:val="000000"/>
          <w:sz w:val="24"/>
          <w:szCs w:val="24"/>
        </w:rPr>
      </w:pPr>
      <w:r>
        <w:rPr>
          <w:rFonts w:hint="eastAsia" w:ascii="仿宋" w:hAnsi="仿宋" w:eastAsia="仿宋" w:cs="仿宋"/>
          <w:color w:val="000000"/>
          <w:sz w:val="24"/>
          <w:szCs w:val="24"/>
        </w:rPr>
        <w:t>2.（标的名称），属于（采购文件中明确的所属行业）;承建（承接）企业为（企业名称），从业人员____人，营业收入为___万元，资产总额为___万元，属于（中型企业、小型企业、微型企业）;</w:t>
      </w:r>
    </w:p>
    <w:p>
      <w:pPr>
        <w:spacing w:line="360" w:lineRule="auto"/>
        <w:ind w:firstLine="480" w:firstLineChars="200"/>
        <w:textAlignment w:val="baseline"/>
        <w:rPr>
          <w:rFonts w:ascii="仿宋" w:hAnsi="仿宋" w:eastAsia="仿宋" w:cs="仿宋"/>
          <w:color w:val="000000"/>
          <w:sz w:val="24"/>
          <w:szCs w:val="24"/>
        </w:rPr>
      </w:pPr>
      <w:r>
        <w:rPr>
          <w:rFonts w:hint="eastAsia" w:ascii="仿宋" w:hAnsi="仿宋" w:eastAsia="仿宋" w:cs="仿宋"/>
          <w:color w:val="000000"/>
          <w:sz w:val="24"/>
          <w:szCs w:val="24"/>
        </w:rPr>
        <w:t>…… 以上企业，不属于大企业的分支机构，不存在控股股东为大企业的情形，也不存在与大企业的负责人为同一人的情形。</w:t>
      </w:r>
    </w:p>
    <w:p>
      <w:pPr>
        <w:spacing w:line="360" w:lineRule="auto"/>
        <w:ind w:firstLine="480" w:firstLineChars="200"/>
        <w:textAlignment w:val="baseline"/>
        <w:rPr>
          <w:rFonts w:ascii="仿宋" w:hAnsi="仿宋" w:eastAsia="仿宋" w:cs="仿宋"/>
          <w:color w:val="000000"/>
          <w:sz w:val="24"/>
          <w:szCs w:val="24"/>
        </w:rPr>
      </w:pPr>
      <w:r>
        <w:rPr>
          <w:rFonts w:hint="eastAsia" w:ascii="仿宋" w:hAnsi="仿宋" w:eastAsia="仿宋" w:cs="仿宋"/>
          <w:color w:val="000000"/>
          <w:sz w:val="24"/>
          <w:szCs w:val="24"/>
        </w:rPr>
        <w:t>本企业对上述声明内容的真实性负责。如有虚假，将依法承担相应责任。</w:t>
      </w:r>
    </w:p>
    <w:p>
      <w:pPr>
        <w:spacing w:line="360" w:lineRule="auto"/>
        <w:ind w:firstLine="240" w:firstLineChars="100"/>
        <w:textAlignment w:val="baseline"/>
        <w:rPr>
          <w:rFonts w:ascii="仿宋" w:hAnsi="仿宋" w:eastAsia="仿宋" w:cs="仿宋"/>
          <w:sz w:val="24"/>
          <w:szCs w:val="24"/>
        </w:rPr>
      </w:pPr>
    </w:p>
    <w:p>
      <w:pPr>
        <w:spacing w:line="360" w:lineRule="auto"/>
        <w:ind w:firstLine="240" w:firstLineChars="100"/>
        <w:textAlignment w:val="baseline"/>
        <w:rPr>
          <w:rFonts w:ascii="仿宋" w:hAnsi="仿宋" w:eastAsia="仿宋" w:cs="仿宋"/>
          <w:sz w:val="24"/>
          <w:szCs w:val="24"/>
        </w:rPr>
      </w:pPr>
    </w:p>
    <w:p>
      <w:pPr>
        <w:spacing w:line="360" w:lineRule="auto"/>
        <w:ind w:firstLine="240" w:firstLineChars="100"/>
        <w:textAlignment w:val="baseline"/>
        <w:rPr>
          <w:rFonts w:ascii="仿宋" w:hAnsi="仿宋" w:eastAsia="仿宋" w:cs="仿宋"/>
          <w:sz w:val="24"/>
          <w:szCs w:val="24"/>
        </w:rPr>
      </w:pPr>
      <w:r>
        <w:rPr>
          <w:rFonts w:hint="eastAsia" w:ascii="仿宋" w:hAnsi="仿宋" w:eastAsia="仿宋" w:cs="仿宋"/>
          <w:sz w:val="24"/>
          <w:szCs w:val="24"/>
        </w:rPr>
        <w:t>供应商全称（公章）：</w:t>
      </w:r>
    </w:p>
    <w:p>
      <w:pPr>
        <w:spacing w:line="360" w:lineRule="auto"/>
        <w:ind w:firstLine="240" w:firstLineChars="100"/>
        <w:textAlignment w:val="baseline"/>
        <w:rPr>
          <w:rFonts w:ascii="仿宋" w:hAnsi="仿宋" w:eastAsia="仿宋" w:cs="仿宋"/>
          <w:sz w:val="24"/>
          <w:szCs w:val="24"/>
        </w:rPr>
      </w:pPr>
      <w:r>
        <w:rPr>
          <w:rFonts w:hint="eastAsia" w:ascii="仿宋" w:hAnsi="仿宋" w:eastAsia="仿宋" w:cs="仿宋"/>
          <w:sz w:val="24"/>
          <w:szCs w:val="24"/>
        </w:rPr>
        <w:t>法定代表人（授权代表）签章：</w:t>
      </w:r>
    </w:p>
    <w:p>
      <w:pPr>
        <w:spacing w:line="360" w:lineRule="auto"/>
        <w:ind w:firstLine="240" w:firstLineChars="100"/>
        <w:textAlignment w:val="baseline"/>
        <w:rPr>
          <w:rFonts w:ascii="仿宋" w:hAnsi="仿宋" w:eastAsia="仿宋" w:cs="仿宋"/>
          <w:sz w:val="24"/>
          <w:szCs w:val="24"/>
        </w:rPr>
      </w:pPr>
      <w:r>
        <w:rPr>
          <w:rFonts w:hint="eastAsia" w:ascii="仿宋" w:hAnsi="仿宋" w:eastAsia="仿宋" w:cs="仿宋"/>
          <w:sz w:val="24"/>
          <w:szCs w:val="24"/>
        </w:rPr>
        <w:t>日期：</w:t>
      </w:r>
    </w:p>
    <w:p>
      <w:pPr>
        <w:spacing w:line="360" w:lineRule="auto"/>
        <w:ind w:firstLine="240" w:firstLineChars="100"/>
        <w:textAlignment w:val="baseline"/>
        <w:rPr>
          <w:rFonts w:ascii="仿宋" w:hAnsi="仿宋" w:eastAsia="仿宋" w:cs="仿宋"/>
          <w:sz w:val="24"/>
          <w:szCs w:val="24"/>
        </w:rPr>
      </w:pPr>
    </w:p>
    <w:p>
      <w:pPr>
        <w:spacing w:line="360" w:lineRule="auto"/>
        <w:ind w:firstLine="240" w:firstLineChars="100"/>
        <w:textAlignment w:val="baseline"/>
        <w:rPr>
          <w:rFonts w:ascii="仿宋" w:hAnsi="仿宋" w:eastAsia="仿宋" w:cs="仿宋"/>
          <w:sz w:val="24"/>
          <w:szCs w:val="24"/>
        </w:rPr>
      </w:pPr>
      <w:r>
        <w:rPr>
          <w:rFonts w:hint="eastAsia" w:ascii="仿宋" w:hAnsi="仿宋" w:eastAsia="仿宋" w:cs="仿宋"/>
          <w:sz w:val="24"/>
          <w:szCs w:val="24"/>
        </w:rPr>
        <w:t>说明：</w:t>
      </w:r>
    </w:p>
    <w:p>
      <w:pPr>
        <w:spacing w:line="360" w:lineRule="auto"/>
        <w:ind w:firstLine="240" w:firstLineChars="100"/>
        <w:textAlignment w:val="baseline"/>
        <w:rPr>
          <w:rFonts w:ascii="仿宋" w:hAnsi="仿宋" w:eastAsia="仿宋" w:cs="仿宋"/>
          <w:sz w:val="24"/>
          <w:szCs w:val="24"/>
        </w:rPr>
      </w:pPr>
      <w:r>
        <w:rPr>
          <w:rFonts w:hint="eastAsia" w:ascii="仿宋" w:hAnsi="仿宋" w:eastAsia="仿宋" w:cs="仿宋"/>
          <w:sz w:val="24"/>
          <w:szCs w:val="24"/>
        </w:rPr>
        <w:t>“微型”或“小型”企业的划分具体以《政府采购促进中小企业发展管理办法》（财库[2020]46号）和《工业和信息化部、国家统计局、国家发展和改革委员会、财政部关于印发中小企业划型标准规定的通知》（工信部联企业[2011]300号）的规定为准。</w:t>
      </w:r>
    </w:p>
    <w:p>
      <w:pPr>
        <w:spacing w:line="360" w:lineRule="auto"/>
        <w:ind w:firstLine="240" w:firstLineChars="100"/>
        <w:textAlignment w:val="baseline"/>
        <w:rPr>
          <w:rFonts w:ascii="仿宋" w:hAnsi="仿宋" w:eastAsia="仿宋" w:cs="仿宋"/>
          <w:sz w:val="24"/>
          <w:szCs w:val="24"/>
        </w:rPr>
      </w:pPr>
    </w:p>
    <w:p>
      <w:pPr>
        <w:spacing w:line="360" w:lineRule="auto"/>
        <w:ind w:firstLine="240" w:firstLineChars="100"/>
        <w:textAlignment w:val="baseline"/>
        <w:rPr>
          <w:rFonts w:ascii="仿宋" w:hAnsi="仿宋" w:eastAsia="仿宋" w:cs="仿宋"/>
          <w:sz w:val="24"/>
          <w:szCs w:val="24"/>
        </w:rPr>
      </w:pPr>
    </w:p>
    <w:p>
      <w:pPr>
        <w:spacing w:line="360" w:lineRule="auto"/>
        <w:ind w:firstLine="240" w:firstLineChars="100"/>
        <w:textAlignment w:val="baseline"/>
        <w:rPr>
          <w:rFonts w:ascii="仿宋" w:hAnsi="仿宋" w:eastAsia="仿宋" w:cs="仿宋"/>
          <w:sz w:val="24"/>
          <w:szCs w:val="24"/>
        </w:rPr>
      </w:pPr>
    </w:p>
    <w:p>
      <w:pPr>
        <w:spacing w:line="360" w:lineRule="auto"/>
        <w:textAlignment w:val="baseline"/>
        <w:rPr>
          <w:rFonts w:ascii="仿宋" w:hAnsi="仿宋" w:eastAsia="仿宋" w:cs="仿宋"/>
          <w:sz w:val="24"/>
          <w:szCs w:val="24"/>
        </w:rPr>
      </w:pPr>
    </w:p>
    <w:p>
      <w:pPr>
        <w:pStyle w:val="4"/>
        <w:numPr>
          <w:ilvl w:val="1"/>
          <w:numId w:val="0"/>
        </w:numPr>
        <w:spacing w:before="0" w:after="0" w:line="360" w:lineRule="auto"/>
        <w:ind w:firstLine="562" w:firstLineChars="200"/>
        <w:textAlignment w:val="baseline"/>
        <w:rPr>
          <w:rFonts w:ascii="仿宋_GB2312" w:eastAsia="仿宋_GB2312" w:cs="仿宋_GB2312"/>
          <w:spacing w:val="6"/>
          <w:sz w:val="30"/>
          <w:szCs w:val="30"/>
        </w:rPr>
      </w:pPr>
      <w:bookmarkStart w:id="216" w:name="_Toc29330"/>
      <w:bookmarkStart w:id="217" w:name="_Toc6655"/>
      <w:bookmarkStart w:id="218" w:name="_Toc13641"/>
      <w:bookmarkStart w:id="219" w:name="_Toc11427"/>
      <w:r>
        <w:rPr>
          <w:rFonts w:hint="eastAsia" w:ascii="仿宋" w:hAnsi="仿宋" w:eastAsia="仿宋" w:cs="仿宋"/>
          <w:sz w:val="28"/>
          <w:szCs w:val="28"/>
        </w:rPr>
        <w:t>附 件5：</w:t>
      </w:r>
      <w:r>
        <w:rPr>
          <w:rFonts w:hint="eastAsia" w:ascii="仿宋" w:hAnsi="仿宋" w:eastAsia="仿宋" w:cs="仿宋"/>
          <w:sz w:val="28"/>
          <w:szCs w:val="28"/>
          <w:lang w:bidi="ar"/>
        </w:rPr>
        <w:t>残疾人福利性单位声明函</w:t>
      </w:r>
      <w:bookmarkEnd w:id="216"/>
      <w:bookmarkEnd w:id="217"/>
      <w:bookmarkEnd w:id="218"/>
      <w:bookmarkEnd w:id="219"/>
    </w:p>
    <w:p>
      <w:pPr>
        <w:spacing w:line="588" w:lineRule="exact"/>
        <w:ind w:firstLine="480" w:firstLineChars="200"/>
        <w:textAlignment w:val="baseline"/>
        <w:rPr>
          <w:rFonts w:ascii="仿宋" w:hAnsi="仿宋" w:eastAsia="仿宋" w:cs="仿宋"/>
          <w:sz w:val="24"/>
          <w:szCs w:val="24"/>
        </w:rPr>
      </w:pPr>
      <w:r>
        <w:rPr>
          <w:rFonts w:hint="eastAsia" w:ascii="仿宋" w:hAnsi="仿宋" w:eastAsia="仿宋" w:cs="仿宋"/>
          <w:sz w:val="24"/>
          <w:szCs w:val="24"/>
          <w:lang w:bidi="ar"/>
        </w:rPr>
        <w:t>本单位郑重声明，根据《财政部 民政部 中国残疾人联合会关于促进残疾人就业政府采购政策的通知》（财库〔2017〕 141号）的规定，本单位为符合条件的残疾人福利性单位，且本单位参加______单位的采购文件编号为______的</w:t>
      </w:r>
      <w:r>
        <w:rPr>
          <w:rFonts w:hint="eastAsia" w:ascii="仿宋" w:hAnsi="仿宋" w:eastAsia="仿宋" w:cs="仿宋"/>
          <w:sz w:val="24"/>
          <w:szCs w:val="24"/>
          <w:u w:val="single" w:color="000000"/>
          <w:lang w:bidi="ar"/>
        </w:rPr>
        <w:t xml:space="preserve">       </w:t>
      </w:r>
      <w:r>
        <w:rPr>
          <w:rFonts w:hint="eastAsia" w:ascii="仿宋" w:hAnsi="仿宋" w:eastAsia="仿宋" w:cs="仿宋"/>
          <w:sz w:val="24"/>
          <w:szCs w:val="24"/>
          <w:lang w:bidi="ar"/>
        </w:rPr>
        <w:t>项目采购活动提供本单位制造的货物（由本单位承担工程/提供服务），或者提供其他残疾人福利性单位制造的货物（不包括使用非残疾人福利性单位注册商标的货物）。</w:t>
      </w:r>
    </w:p>
    <w:p>
      <w:pPr>
        <w:spacing w:line="588" w:lineRule="exact"/>
        <w:ind w:firstLine="480" w:firstLineChars="200"/>
        <w:textAlignment w:val="baseline"/>
        <w:rPr>
          <w:rFonts w:ascii="仿宋" w:hAnsi="仿宋" w:eastAsia="仿宋" w:cs="仿宋"/>
          <w:sz w:val="24"/>
          <w:szCs w:val="24"/>
        </w:rPr>
      </w:pPr>
      <w:r>
        <w:rPr>
          <w:rFonts w:hint="eastAsia" w:ascii="仿宋" w:hAnsi="仿宋" w:eastAsia="仿宋" w:cs="仿宋"/>
          <w:sz w:val="24"/>
          <w:szCs w:val="24"/>
          <w:lang w:bidi="ar"/>
        </w:rPr>
        <w:t>本单位对上述声明的真实性负责。如有虚假，将依法承担相应责任。</w:t>
      </w:r>
    </w:p>
    <w:p>
      <w:pPr>
        <w:spacing w:line="588" w:lineRule="exact"/>
        <w:ind w:firstLine="480" w:firstLineChars="200"/>
        <w:textAlignment w:val="baseline"/>
        <w:rPr>
          <w:rFonts w:ascii="仿宋" w:hAnsi="仿宋" w:eastAsia="仿宋" w:cs="仿宋"/>
          <w:sz w:val="24"/>
          <w:szCs w:val="24"/>
        </w:rPr>
      </w:pPr>
      <w:r>
        <w:rPr>
          <w:rFonts w:hint="eastAsia" w:ascii="仿宋" w:hAnsi="仿宋" w:eastAsia="仿宋" w:cs="仿宋"/>
          <w:sz w:val="24"/>
          <w:szCs w:val="24"/>
          <w:lang w:bidi="ar"/>
        </w:rPr>
        <w:t xml:space="preserve"> </w:t>
      </w:r>
    </w:p>
    <w:p>
      <w:pPr>
        <w:spacing w:line="588" w:lineRule="exact"/>
        <w:ind w:firstLine="480" w:firstLineChars="200"/>
        <w:textAlignment w:val="baseline"/>
        <w:rPr>
          <w:rFonts w:ascii="仿宋" w:hAnsi="仿宋" w:eastAsia="仿宋" w:cs="仿宋"/>
          <w:sz w:val="24"/>
          <w:szCs w:val="24"/>
        </w:rPr>
      </w:pPr>
      <w:r>
        <w:rPr>
          <w:rFonts w:hint="eastAsia" w:ascii="仿宋" w:hAnsi="仿宋" w:eastAsia="仿宋" w:cs="仿宋"/>
          <w:sz w:val="24"/>
          <w:szCs w:val="24"/>
          <w:lang w:bidi="ar"/>
        </w:rPr>
        <w:t>（备注：1、供应商如不提供此声明函，价格将不做相应扣除。2、中标供应商为残疾人福利单位的，此声明函将随中标结果同时公告，接受社会监督）</w:t>
      </w:r>
    </w:p>
    <w:p>
      <w:pPr>
        <w:spacing w:line="588" w:lineRule="exact"/>
        <w:ind w:firstLine="624" w:firstLineChars="200"/>
        <w:textAlignment w:val="baseline"/>
        <w:rPr>
          <w:rFonts w:ascii="仿宋" w:hAnsi="仿宋" w:eastAsia="仿宋" w:cs="仿宋"/>
          <w:spacing w:val="6"/>
          <w:sz w:val="30"/>
          <w:szCs w:val="30"/>
          <w:lang w:bidi="ar"/>
        </w:rPr>
      </w:pPr>
      <w:r>
        <w:rPr>
          <w:rFonts w:hint="eastAsia" w:ascii="仿宋" w:hAnsi="仿宋" w:eastAsia="仿宋" w:cs="仿宋"/>
          <w:spacing w:val="6"/>
          <w:sz w:val="30"/>
          <w:szCs w:val="30"/>
          <w:lang w:bidi="ar"/>
        </w:rPr>
        <w:t xml:space="preserve"> </w:t>
      </w:r>
    </w:p>
    <w:p>
      <w:pPr>
        <w:pStyle w:val="61"/>
        <w:textAlignment w:val="baseline"/>
        <w:rPr>
          <w:rFonts w:ascii="仿宋" w:hAnsi="仿宋" w:eastAsia="仿宋" w:cs="仿宋"/>
          <w:spacing w:val="6"/>
          <w:sz w:val="30"/>
          <w:szCs w:val="30"/>
          <w:lang w:bidi="ar"/>
        </w:rPr>
      </w:pPr>
    </w:p>
    <w:p>
      <w:pPr>
        <w:pStyle w:val="61"/>
        <w:ind w:firstLine="0"/>
        <w:textAlignment w:val="baseline"/>
        <w:rPr>
          <w:rFonts w:ascii="仿宋" w:hAnsi="仿宋" w:eastAsia="仿宋" w:cs="仿宋"/>
          <w:spacing w:val="6"/>
          <w:sz w:val="30"/>
          <w:szCs w:val="30"/>
          <w:lang w:bidi="ar"/>
        </w:rPr>
      </w:pPr>
    </w:p>
    <w:p>
      <w:pPr>
        <w:spacing w:line="588" w:lineRule="exact"/>
        <w:ind w:right="1560" w:firstLine="624" w:firstLineChars="200"/>
        <w:jc w:val="center"/>
        <w:textAlignment w:val="baseline"/>
        <w:rPr>
          <w:rFonts w:ascii="仿宋" w:hAnsi="仿宋" w:eastAsia="仿宋" w:cs="仿宋"/>
          <w:sz w:val="24"/>
          <w:szCs w:val="24"/>
          <w:lang w:bidi="ar"/>
        </w:rPr>
      </w:pPr>
      <w:r>
        <w:rPr>
          <w:rFonts w:hint="eastAsia" w:ascii="仿宋" w:hAnsi="仿宋" w:eastAsia="仿宋" w:cs="仿宋"/>
          <w:spacing w:val="6"/>
          <w:sz w:val="30"/>
          <w:szCs w:val="30"/>
          <w:lang w:bidi="ar"/>
        </w:rPr>
        <w:t xml:space="preserve">             </w:t>
      </w:r>
      <w:r>
        <w:rPr>
          <w:rFonts w:hint="eastAsia" w:ascii="仿宋" w:hAnsi="仿宋" w:eastAsia="仿宋" w:cs="仿宋"/>
          <w:sz w:val="24"/>
          <w:szCs w:val="24"/>
          <w:lang w:bidi="ar"/>
        </w:rPr>
        <w:t xml:space="preserve">          供应商全称（加盖公章）：</w:t>
      </w:r>
    </w:p>
    <w:p>
      <w:pPr>
        <w:spacing w:line="588" w:lineRule="exact"/>
        <w:ind w:right="1560" w:firstLine="480" w:firstLineChars="200"/>
        <w:jc w:val="center"/>
        <w:textAlignment w:val="baseline"/>
        <w:rPr>
          <w:rFonts w:ascii="仿宋" w:hAnsi="仿宋" w:eastAsia="仿宋" w:cs="仿宋"/>
          <w:b/>
          <w:bCs/>
          <w:sz w:val="28"/>
          <w:szCs w:val="28"/>
          <w:lang w:bidi="ar"/>
        </w:rPr>
      </w:pPr>
      <w:r>
        <w:rPr>
          <w:rFonts w:hint="eastAsia" w:ascii="仿宋" w:hAnsi="仿宋" w:eastAsia="仿宋" w:cs="仿宋"/>
          <w:sz w:val="24"/>
          <w:szCs w:val="24"/>
          <w:lang w:bidi="ar"/>
        </w:rPr>
        <w:t xml:space="preserve">             日  期：</w:t>
      </w:r>
    </w:p>
    <w:bookmarkEnd w:id="215"/>
    <w:p>
      <w:pPr>
        <w:textAlignment w:val="baseline"/>
        <w:rPr>
          <w:sz w:val="20"/>
        </w:rPr>
      </w:pPr>
    </w:p>
    <w:sectPr>
      <w:headerReference r:id="rId14" w:type="default"/>
      <w:footerReference r:id="rId15" w:type="default"/>
      <w:pgSz w:w="11906" w:h="16838"/>
      <w:pgMar w:top="1440" w:right="856" w:bottom="1440" w:left="1140"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楷体_GB2312">
    <w:altName w:val="楷体"/>
    <w:panose1 w:val="02010609030101010101"/>
    <w:charset w:val="86"/>
    <w:family w:val="modern"/>
    <w:pitch w:val="default"/>
    <w:sig w:usb0="00000000" w:usb1="00000000" w:usb2="00000000" w:usb3="00000000" w:csb0="00040000" w:csb1="00000000"/>
  </w:font>
  <w:font w:name="幼圆">
    <w:altName w:val="宋体"/>
    <w:panose1 w:val="0201050906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Futura Bk">
    <w:altName w:val="Segoe Print"/>
    <w:panose1 w:val="00000000000000000000"/>
    <w:charset w:val="00"/>
    <w:family w:val="swiss"/>
    <w:pitch w:val="default"/>
    <w:sig w:usb0="00000000" w:usb1="00000000" w:usb2="00000000" w:usb3="00000000" w:csb0="000000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96850"/>
              <wp:effectExtent l="0" t="0" r="0" b="0"/>
              <wp:wrapNone/>
              <wp:docPr id="1" name="Text Box 1025"/>
              <wp:cNvGraphicFramePr/>
              <a:graphic xmlns:a="http://schemas.openxmlformats.org/drawingml/2006/main">
                <a:graphicData uri="http://schemas.microsoft.com/office/word/2010/wordprocessingShape">
                  <wps:wsp>
                    <wps:cNvSpPr txBox="1"/>
                    <wps:spPr>
                      <a:xfrm>
                        <a:off x="0" y="0"/>
                        <a:ext cx="286385" cy="196850"/>
                      </a:xfrm>
                      <a:prstGeom prst="rect">
                        <a:avLst/>
                      </a:prstGeom>
                      <a:noFill/>
                      <a:ln w="9525">
                        <a:noFill/>
                      </a:ln>
                      <a:effectLst/>
                    </wps:spPr>
                    <wps:txbx>
                      <w:txbxContent>
                        <w:p>
                          <w:pPr>
                            <w:pStyle w:val="19"/>
                            <w:ind w:firstLine="360"/>
                          </w:pPr>
                          <w:r>
                            <w:fldChar w:fldCharType="begin"/>
                          </w:r>
                          <w:r>
                            <w:instrText xml:space="preserve"> PAGE  \* MERGEFORMAT </w:instrText>
                          </w:r>
                          <w:r>
                            <w:fldChar w:fldCharType="separate"/>
                          </w:r>
                          <w:r>
                            <w:t>32</w:t>
                          </w:r>
                          <w:r>
                            <w:fldChar w:fldCharType="end"/>
                          </w:r>
                        </w:p>
                      </w:txbxContent>
                    </wps:txbx>
                    <wps:bodyPr wrap="none" lIns="0" tIns="0" rIns="0" bIns="0" upright="1">
                      <a:spAutoFit/>
                    </wps:bodyPr>
                  </wps:wsp>
                </a:graphicData>
              </a:graphic>
            </wp:anchor>
          </w:drawing>
        </mc:Choice>
        <mc:Fallback>
          <w:pict>
            <v:shape id="Text Box 1025" o:spid="_x0000_s1026" o:spt="202" type="#_x0000_t202" style="position:absolute;left:0pt;margin-top:0pt;height:15.5pt;width:22.55pt;mso-position-horizontal:center;mso-position-horizontal-relative:margin;mso-wrap-style:none;z-index:251659264;mso-width-relative:page;mso-height-relative:page;" filled="f" stroked="f" coordsize="21600,21600" o:gfxdata="UEsDBAoAAAAAAIdO4kAAAAAAAAAAAAAAAAAEAAAAZHJzL1BLAwQUAAAACACHTuJApIxZx9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kjFnH0QAAAAMBAAAPAAAAAAAAAAEAIAAAACIAAABkcnMvZG93&#10;bnJldi54bWxQSwECFAAUAAAACACHTuJAY624F84BAACwAwAADgAAAAAAAAABACAAAAAgAQAAZHJz&#10;L2Uyb0RvYy54bWxQSwUGAAAAAAYABgBZAQAAYAUAAAAA&#10;">
              <v:fill on="f" focussize="0,0"/>
              <v:stroke on="f"/>
              <v:imagedata o:title=""/>
              <o:lock v:ext="edit" aspectratio="f"/>
              <v:textbox inset="0mm,0mm,0mm,0mm" style="mso-fit-shape-to-text:t;">
                <w:txbxContent>
                  <w:p>
                    <w:pPr>
                      <w:pStyle w:val="19"/>
                      <w:ind w:firstLine="360"/>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19"/>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19"/>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19"/>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double" w:color="auto" w:sz="8" w:space="1"/>
      </w:pBdr>
      <w:spacing w:line="240" w:lineRule="atLeast"/>
      <w:ind w:firstLine="0" w:firstLineChars="0"/>
      <w:rPr>
        <w:rFonts w:ascii="楷体" w:hAnsi="楷体" w:eastAsia="楷体" w:cs="楷体"/>
      </w:rPr>
    </w:pPr>
    <w:r>
      <w:rPr>
        <w:rFonts w:hint="eastAsia" w:ascii="楷体" w:hAnsi="楷体" w:eastAsia="楷体" w:cs="楷体"/>
      </w:rPr>
      <w:t>NJDCX-202311220826                                                   南京达琛鑫工程咨询有限公司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1"/>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single" w:color="auto" w:sz="4" w:space="1"/>
      </w:pBdr>
      <w:spacing w:line="240" w:lineRule="auto"/>
      <w:ind w:firstLine="0" w:firstLineChars="0"/>
      <w:rPr>
        <w:rFonts w:ascii="仿宋" w:hAnsi="仿宋"/>
      </w:rPr>
    </w:pPr>
    <w:r>
      <w:rPr>
        <w:rFonts w:hint="eastAsia"/>
      </w:rPr>
      <w:t xml:space="preserve">NJDCX-202311220826                                              </w:t>
    </w:r>
    <w:r>
      <w:rPr>
        <w:rFonts w:hint="eastAsia" w:ascii="楷体" w:hAnsi="楷体" w:eastAsia="楷体"/>
      </w:rPr>
      <w:t>南京达琛鑫工程咨询有限公司</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single" w:color="auto" w:sz="4" w:space="1"/>
      </w:pBdr>
      <w:spacing w:line="240" w:lineRule="auto"/>
      <w:ind w:firstLine="0" w:firstLineChars="0"/>
      <w:rPr>
        <w:rFonts w:ascii="仿宋" w:hAnsi="仿宋"/>
      </w:rPr>
    </w:pPr>
    <w:r>
      <w:rPr>
        <w:rFonts w:hint="eastAsia"/>
      </w:rPr>
      <w:t xml:space="preserve">NJDCX-202311220826                                             </w:t>
    </w:r>
    <w:r>
      <w:rPr>
        <w:rFonts w:hint="eastAsia" w:ascii="楷体" w:hAnsi="楷体" w:eastAsia="楷体"/>
      </w:rPr>
      <w:t>南京达琛鑫工程咨询有限公司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23C607"/>
    <w:multiLevelType w:val="singleLevel"/>
    <w:tmpl w:val="9123C607"/>
    <w:lvl w:ilvl="0" w:tentative="0">
      <w:start w:val="7"/>
      <w:numFmt w:val="chineseCounting"/>
      <w:suff w:val="nothing"/>
      <w:lvlText w:val="%1、"/>
      <w:lvlJc w:val="left"/>
      <w:rPr>
        <w:rFonts w:hint="eastAsia"/>
      </w:rPr>
    </w:lvl>
  </w:abstractNum>
  <w:abstractNum w:abstractNumId="1">
    <w:nsid w:val="AFF79347"/>
    <w:multiLevelType w:val="singleLevel"/>
    <w:tmpl w:val="AFF79347"/>
    <w:lvl w:ilvl="0" w:tentative="0">
      <w:start w:val="1"/>
      <w:numFmt w:val="decimal"/>
      <w:suff w:val="nothing"/>
      <w:lvlText w:val="（%1）"/>
      <w:lvlJc w:val="left"/>
    </w:lvl>
  </w:abstractNum>
  <w:abstractNum w:abstractNumId="2">
    <w:nsid w:val="B530F5CE"/>
    <w:multiLevelType w:val="singleLevel"/>
    <w:tmpl w:val="B530F5CE"/>
    <w:lvl w:ilvl="0" w:tentative="0">
      <w:start w:val="1"/>
      <w:numFmt w:val="ideographTraditional"/>
      <w:suff w:val="nothing"/>
      <w:lvlText w:val="%1、"/>
      <w:lvlJc w:val="left"/>
      <w:rPr>
        <w:rFonts w:hint="eastAsia"/>
      </w:rPr>
    </w:lvl>
  </w:abstractNum>
  <w:abstractNum w:abstractNumId="3">
    <w:nsid w:val="00000011"/>
    <w:multiLevelType w:val="multilevel"/>
    <w:tmpl w:val="00000011"/>
    <w:lvl w:ilvl="0" w:tentative="0">
      <w:start w:val="1"/>
      <w:numFmt w:val="japaneseCounting"/>
      <w:pStyle w:val="45"/>
      <w:lvlText w:val="%1、"/>
      <w:lvlJc w:val="left"/>
      <w:pPr>
        <w:tabs>
          <w:tab w:val="left" w:pos="720"/>
        </w:tabs>
        <w:ind w:left="720" w:hanging="720"/>
      </w:pPr>
      <w:rPr>
        <w:rFonts w:hint="eastAsia"/>
      </w:rPr>
    </w:lvl>
    <w:lvl w:ilvl="1" w:tentative="0">
      <w:start w:val="1"/>
      <w:numFmt w:val="chineseCountingThousand"/>
      <w:lvlText w:val="（%2）"/>
      <w:lvlJc w:val="left"/>
      <w:pPr>
        <w:tabs>
          <w:tab w:val="left" w:pos="780"/>
        </w:tabs>
        <w:ind w:left="780" w:hanging="78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4">
    <w:nsid w:val="24CB04D7"/>
    <w:multiLevelType w:val="singleLevel"/>
    <w:tmpl w:val="24CB04D7"/>
    <w:lvl w:ilvl="0" w:tentative="0">
      <w:start w:val="2"/>
      <w:numFmt w:val="chineseCounting"/>
      <w:suff w:val="nothing"/>
      <w:lvlText w:val="%1、"/>
      <w:lvlJc w:val="left"/>
      <w:rPr>
        <w:rFonts w:hint="eastAsia"/>
      </w:rPr>
    </w:lvl>
  </w:abstractNum>
  <w:abstractNum w:abstractNumId="5">
    <w:nsid w:val="2752F90E"/>
    <w:multiLevelType w:val="singleLevel"/>
    <w:tmpl w:val="2752F90E"/>
    <w:lvl w:ilvl="0" w:tentative="0">
      <w:start w:val="4"/>
      <w:numFmt w:val="chineseCounting"/>
      <w:suff w:val="nothing"/>
      <w:lvlText w:val="%1、"/>
      <w:lvlJc w:val="left"/>
      <w:rPr>
        <w:rFonts w:hint="eastAsia"/>
      </w:rPr>
    </w:lvl>
  </w:abstractNum>
  <w:abstractNum w:abstractNumId="6">
    <w:nsid w:val="39109CBB"/>
    <w:multiLevelType w:val="singleLevel"/>
    <w:tmpl w:val="39109CBB"/>
    <w:lvl w:ilvl="0" w:tentative="0">
      <w:start w:val="1"/>
      <w:numFmt w:val="decimal"/>
      <w:suff w:val="nothing"/>
      <w:lvlText w:val="%1、"/>
      <w:lvlJc w:val="left"/>
    </w:lvl>
  </w:abstractNum>
  <w:abstractNum w:abstractNumId="7">
    <w:nsid w:val="42062CC4"/>
    <w:multiLevelType w:val="multilevel"/>
    <w:tmpl w:val="42062CC4"/>
    <w:lvl w:ilvl="0" w:tentative="0">
      <w:start w:val="1"/>
      <w:numFmt w:val="decimal"/>
      <w:pStyle w:val="3"/>
      <w:suff w:val="nothing"/>
      <w:lvlText w:val="第 %1 部分 "/>
      <w:lvlJc w:val="left"/>
      <w:rPr>
        <w:rFonts w:hint="eastAsia" w:ascii="黑体" w:hAnsi="宋体" w:eastAsia="黑体"/>
        <w:b/>
        <w:bCs/>
        <w:i w:val="0"/>
        <w:iCs w:val="0"/>
        <w:caps w:val="0"/>
        <w:smallCaps w:val="0"/>
        <w:strike w:val="0"/>
        <w:dstrike w:val="0"/>
        <w:spacing w:val="0"/>
        <w:position w:val="0"/>
        <w:u w:val="none"/>
        <w:vertAlign w:val="baseline"/>
      </w:rPr>
    </w:lvl>
    <w:lvl w:ilvl="1" w:tentative="0">
      <w:start w:val="1"/>
      <w:numFmt w:val="decimal"/>
      <w:pStyle w:val="4"/>
      <w:isLgl/>
      <w:suff w:val="nothing"/>
      <w:lvlText w:val="%1.%2 "/>
      <w:lvlJc w:val="left"/>
      <w:rPr>
        <w:rFonts w:hint="eastAsia"/>
      </w:rPr>
    </w:lvl>
    <w:lvl w:ilvl="2" w:tentative="0">
      <w:start w:val="1"/>
      <w:numFmt w:val="none"/>
      <w:pStyle w:val="5"/>
      <w:isLgl/>
      <w:suff w:val="nothing"/>
      <w:lvlText w:val=""/>
      <w:lvlJc w:val="left"/>
      <w:rPr>
        <w:rFonts w:hint="eastAsia" w:ascii="Arial Unicode MS" w:hAnsi="Arial Unicode MS" w:eastAsia="Arial Unicode MS"/>
        <w:sz w:val="24"/>
        <w:szCs w:val="24"/>
      </w:rPr>
    </w:lvl>
    <w:lvl w:ilvl="3" w:tentative="0">
      <w:start w:val="1"/>
      <w:numFmt w:val="none"/>
      <w:isLgl/>
      <w:suff w:val="nothing"/>
      <w:lvlText w:val=""/>
      <w:lvlJc w:val="left"/>
      <w:rPr>
        <w:rFonts w:hint="eastAsia"/>
      </w:rPr>
    </w:lvl>
    <w:lvl w:ilvl="4" w:tentative="0">
      <w:start w:val="1"/>
      <w:numFmt w:val="decimal"/>
      <w:isLgl/>
      <w:suff w:val="nothing"/>
      <w:lvlText w:val="%1.%2.%3.%4.%5 "/>
      <w:lvlJc w:val="left"/>
      <w:rPr>
        <w:rFonts w:hint="eastAsia"/>
        <w:sz w:val="28"/>
        <w:szCs w:val="28"/>
      </w:rPr>
    </w:lvl>
    <w:lvl w:ilvl="5" w:tentative="0">
      <w:start w:val="1"/>
      <w:numFmt w:val="none"/>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abstractNum w:abstractNumId="8">
    <w:nsid w:val="491A2BF4"/>
    <w:multiLevelType w:val="multilevel"/>
    <w:tmpl w:val="491A2BF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616AB0A0"/>
    <w:multiLevelType w:val="singleLevel"/>
    <w:tmpl w:val="616AB0A0"/>
    <w:lvl w:ilvl="0" w:tentative="0">
      <w:start w:val="1"/>
      <w:numFmt w:val="decimal"/>
      <w:suff w:val="nothing"/>
      <w:lvlText w:val="%1）"/>
      <w:lvlJc w:val="left"/>
    </w:lvl>
  </w:abstractNum>
  <w:num w:numId="1">
    <w:abstractNumId w:val="7"/>
  </w:num>
  <w:num w:numId="2">
    <w:abstractNumId w:val="3"/>
  </w:num>
  <w:num w:numId="3">
    <w:abstractNumId w:val="6"/>
  </w:num>
  <w:num w:numId="4">
    <w:abstractNumId w:val="1"/>
  </w:num>
  <w:num w:numId="5">
    <w:abstractNumId w:val="2"/>
  </w:num>
  <w:num w:numId="6">
    <w:abstractNumId w:val="8"/>
  </w:num>
  <w:num w:numId="7">
    <w:abstractNumId w:val="4"/>
  </w:num>
  <w:num w:numId="8">
    <w:abstractNumId w:val="9"/>
  </w:num>
  <w:num w:numId="9">
    <w:abstractNumId w:val="5"/>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embedSystem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Q0YjMzNzU5OWQzN2VkOGFjYWI2OGViMmUwZGIwMTAifQ=="/>
  </w:docVars>
  <w:rsids>
    <w:rsidRoot w:val="0038105E"/>
    <w:rsid w:val="00092509"/>
    <w:rsid w:val="000B6281"/>
    <w:rsid w:val="000D21E2"/>
    <w:rsid w:val="00172A53"/>
    <w:rsid w:val="001C048E"/>
    <w:rsid w:val="00245594"/>
    <w:rsid w:val="0027306C"/>
    <w:rsid w:val="002A06D7"/>
    <w:rsid w:val="002A189E"/>
    <w:rsid w:val="002A5AD0"/>
    <w:rsid w:val="0031380D"/>
    <w:rsid w:val="00331242"/>
    <w:rsid w:val="0038105E"/>
    <w:rsid w:val="00441277"/>
    <w:rsid w:val="0044621F"/>
    <w:rsid w:val="00480F38"/>
    <w:rsid w:val="004C0ADE"/>
    <w:rsid w:val="005078BD"/>
    <w:rsid w:val="00534D65"/>
    <w:rsid w:val="00615EA1"/>
    <w:rsid w:val="00637B25"/>
    <w:rsid w:val="006836D3"/>
    <w:rsid w:val="006A45A2"/>
    <w:rsid w:val="006D109F"/>
    <w:rsid w:val="00734650"/>
    <w:rsid w:val="00742DD4"/>
    <w:rsid w:val="00755DF0"/>
    <w:rsid w:val="007E6142"/>
    <w:rsid w:val="007F3E5F"/>
    <w:rsid w:val="00841741"/>
    <w:rsid w:val="008B7B27"/>
    <w:rsid w:val="00933E10"/>
    <w:rsid w:val="009444C8"/>
    <w:rsid w:val="00944666"/>
    <w:rsid w:val="009A55D2"/>
    <w:rsid w:val="00A019A7"/>
    <w:rsid w:val="00A53312"/>
    <w:rsid w:val="00A65518"/>
    <w:rsid w:val="00A70157"/>
    <w:rsid w:val="00A8122F"/>
    <w:rsid w:val="00AF0CF8"/>
    <w:rsid w:val="00B22BA0"/>
    <w:rsid w:val="00B71A8B"/>
    <w:rsid w:val="00BA0CA9"/>
    <w:rsid w:val="00BE1879"/>
    <w:rsid w:val="00BF706B"/>
    <w:rsid w:val="00C13BD2"/>
    <w:rsid w:val="00CF5500"/>
    <w:rsid w:val="00D26D9F"/>
    <w:rsid w:val="00D27535"/>
    <w:rsid w:val="00D60BC6"/>
    <w:rsid w:val="00D70859"/>
    <w:rsid w:val="00D9226D"/>
    <w:rsid w:val="00DD5919"/>
    <w:rsid w:val="00E865C2"/>
    <w:rsid w:val="00F211EF"/>
    <w:rsid w:val="00F9432B"/>
    <w:rsid w:val="011B0745"/>
    <w:rsid w:val="01523696"/>
    <w:rsid w:val="0159301C"/>
    <w:rsid w:val="015E6884"/>
    <w:rsid w:val="016A306B"/>
    <w:rsid w:val="016A347B"/>
    <w:rsid w:val="018B2C5C"/>
    <w:rsid w:val="018E7169"/>
    <w:rsid w:val="0194674A"/>
    <w:rsid w:val="01A324E9"/>
    <w:rsid w:val="01A4698D"/>
    <w:rsid w:val="01AC3A93"/>
    <w:rsid w:val="01B36BD0"/>
    <w:rsid w:val="01B94179"/>
    <w:rsid w:val="01BB5A85"/>
    <w:rsid w:val="01CC7C92"/>
    <w:rsid w:val="01EA636A"/>
    <w:rsid w:val="01EF484E"/>
    <w:rsid w:val="020236B3"/>
    <w:rsid w:val="020C6990"/>
    <w:rsid w:val="0224187C"/>
    <w:rsid w:val="022E2945"/>
    <w:rsid w:val="02906F11"/>
    <w:rsid w:val="02A8554B"/>
    <w:rsid w:val="02B26E88"/>
    <w:rsid w:val="02BC4A13"/>
    <w:rsid w:val="02BD1C3B"/>
    <w:rsid w:val="02D92DD5"/>
    <w:rsid w:val="02E334E5"/>
    <w:rsid w:val="02EA4873"/>
    <w:rsid w:val="02ED3928"/>
    <w:rsid w:val="02F76F90"/>
    <w:rsid w:val="02FF5E45"/>
    <w:rsid w:val="03016E5F"/>
    <w:rsid w:val="03192A63"/>
    <w:rsid w:val="03223B00"/>
    <w:rsid w:val="0328539C"/>
    <w:rsid w:val="03521E47"/>
    <w:rsid w:val="035709A2"/>
    <w:rsid w:val="03587CDD"/>
    <w:rsid w:val="03977E2B"/>
    <w:rsid w:val="03EE2141"/>
    <w:rsid w:val="03F807D7"/>
    <w:rsid w:val="042200E0"/>
    <w:rsid w:val="04332530"/>
    <w:rsid w:val="043A7135"/>
    <w:rsid w:val="04441D61"/>
    <w:rsid w:val="045126D0"/>
    <w:rsid w:val="045521C0"/>
    <w:rsid w:val="045C2D0F"/>
    <w:rsid w:val="04634C0E"/>
    <w:rsid w:val="048654E4"/>
    <w:rsid w:val="048E7480"/>
    <w:rsid w:val="049F343C"/>
    <w:rsid w:val="04BC3FEE"/>
    <w:rsid w:val="04D31337"/>
    <w:rsid w:val="04DC4690"/>
    <w:rsid w:val="04E16299"/>
    <w:rsid w:val="04E46248"/>
    <w:rsid w:val="05065269"/>
    <w:rsid w:val="05157BA2"/>
    <w:rsid w:val="05183939"/>
    <w:rsid w:val="052466F8"/>
    <w:rsid w:val="0539563E"/>
    <w:rsid w:val="053F7B4A"/>
    <w:rsid w:val="054054C9"/>
    <w:rsid w:val="05553FF1"/>
    <w:rsid w:val="05787AC6"/>
    <w:rsid w:val="05934CFF"/>
    <w:rsid w:val="059565ED"/>
    <w:rsid w:val="05992E89"/>
    <w:rsid w:val="059E1165"/>
    <w:rsid w:val="05AB5E10"/>
    <w:rsid w:val="05C72C4A"/>
    <w:rsid w:val="05CD0926"/>
    <w:rsid w:val="05CF67D3"/>
    <w:rsid w:val="05D90BCF"/>
    <w:rsid w:val="05E51322"/>
    <w:rsid w:val="05FE6FF4"/>
    <w:rsid w:val="06055520"/>
    <w:rsid w:val="061B2F96"/>
    <w:rsid w:val="061C2727"/>
    <w:rsid w:val="062552F9"/>
    <w:rsid w:val="0645240D"/>
    <w:rsid w:val="06473D8B"/>
    <w:rsid w:val="06514C09"/>
    <w:rsid w:val="065E2E82"/>
    <w:rsid w:val="067107A0"/>
    <w:rsid w:val="06862B05"/>
    <w:rsid w:val="0687687D"/>
    <w:rsid w:val="069C40D7"/>
    <w:rsid w:val="06AC0454"/>
    <w:rsid w:val="06CB006D"/>
    <w:rsid w:val="06D123F7"/>
    <w:rsid w:val="06D575E9"/>
    <w:rsid w:val="06D721A8"/>
    <w:rsid w:val="06E3488E"/>
    <w:rsid w:val="07153E89"/>
    <w:rsid w:val="071E7EB7"/>
    <w:rsid w:val="073C07DB"/>
    <w:rsid w:val="07610E7C"/>
    <w:rsid w:val="078132CC"/>
    <w:rsid w:val="07877638"/>
    <w:rsid w:val="078D1C71"/>
    <w:rsid w:val="07B6427D"/>
    <w:rsid w:val="07CD206E"/>
    <w:rsid w:val="07CF4038"/>
    <w:rsid w:val="07DE24CD"/>
    <w:rsid w:val="07FB6BDB"/>
    <w:rsid w:val="081E4FBF"/>
    <w:rsid w:val="082C3238"/>
    <w:rsid w:val="082D6651"/>
    <w:rsid w:val="082D774C"/>
    <w:rsid w:val="08321FB3"/>
    <w:rsid w:val="08485B98"/>
    <w:rsid w:val="0858402D"/>
    <w:rsid w:val="086C1F56"/>
    <w:rsid w:val="08730E67"/>
    <w:rsid w:val="08803584"/>
    <w:rsid w:val="08887952"/>
    <w:rsid w:val="08901A19"/>
    <w:rsid w:val="08986B20"/>
    <w:rsid w:val="08BF22FE"/>
    <w:rsid w:val="08C749FF"/>
    <w:rsid w:val="08DF02AB"/>
    <w:rsid w:val="08E81855"/>
    <w:rsid w:val="08F31FA8"/>
    <w:rsid w:val="08F60137"/>
    <w:rsid w:val="08FF6B9F"/>
    <w:rsid w:val="09012917"/>
    <w:rsid w:val="09065BB7"/>
    <w:rsid w:val="09153CCC"/>
    <w:rsid w:val="09190516"/>
    <w:rsid w:val="09341C6B"/>
    <w:rsid w:val="094403C6"/>
    <w:rsid w:val="0955056D"/>
    <w:rsid w:val="09597C96"/>
    <w:rsid w:val="095E1B17"/>
    <w:rsid w:val="097E4357"/>
    <w:rsid w:val="097F4D73"/>
    <w:rsid w:val="09840E52"/>
    <w:rsid w:val="09E55D95"/>
    <w:rsid w:val="09EB46EF"/>
    <w:rsid w:val="0A03621B"/>
    <w:rsid w:val="0A116B8A"/>
    <w:rsid w:val="0A1246B0"/>
    <w:rsid w:val="0A14667A"/>
    <w:rsid w:val="0A1D552E"/>
    <w:rsid w:val="0A1E11A5"/>
    <w:rsid w:val="0A201C49"/>
    <w:rsid w:val="0A2543E3"/>
    <w:rsid w:val="0A3665F0"/>
    <w:rsid w:val="0A3B55EB"/>
    <w:rsid w:val="0A44716C"/>
    <w:rsid w:val="0A530F50"/>
    <w:rsid w:val="0A595E3B"/>
    <w:rsid w:val="0A892BC4"/>
    <w:rsid w:val="0A911A78"/>
    <w:rsid w:val="0A9652E1"/>
    <w:rsid w:val="0AA22642"/>
    <w:rsid w:val="0AB67731"/>
    <w:rsid w:val="0AC0235E"/>
    <w:rsid w:val="0AC534D0"/>
    <w:rsid w:val="0ACC0D02"/>
    <w:rsid w:val="0ACD4D74"/>
    <w:rsid w:val="0ACE05D7"/>
    <w:rsid w:val="0ADE25DA"/>
    <w:rsid w:val="0ADF48B9"/>
    <w:rsid w:val="0AEA1189"/>
    <w:rsid w:val="0AEC70D8"/>
    <w:rsid w:val="0B0E30C9"/>
    <w:rsid w:val="0B2102AC"/>
    <w:rsid w:val="0B246552"/>
    <w:rsid w:val="0B354AFA"/>
    <w:rsid w:val="0B3C19E4"/>
    <w:rsid w:val="0B534F80"/>
    <w:rsid w:val="0B776EC0"/>
    <w:rsid w:val="0B7A69B0"/>
    <w:rsid w:val="0B815649"/>
    <w:rsid w:val="0B8B64C8"/>
    <w:rsid w:val="0B907F82"/>
    <w:rsid w:val="0BC11EE9"/>
    <w:rsid w:val="0BC47C2C"/>
    <w:rsid w:val="0BCF0AAA"/>
    <w:rsid w:val="0BEF5C9E"/>
    <w:rsid w:val="0C061FF2"/>
    <w:rsid w:val="0C2C2016"/>
    <w:rsid w:val="0C572A55"/>
    <w:rsid w:val="0C655ADA"/>
    <w:rsid w:val="0C6A432F"/>
    <w:rsid w:val="0C8B665C"/>
    <w:rsid w:val="0C8C704E"/>
    <w:rsid w:val="0C9870EE"/>
    <w:rsid w:val="0CA7114B"/>
    <w:rsid w:val="0CAD06C0"/>
    <w:rsid w:val="0CC51EAD"/>
    <w:rsid w:val="0CFA1FF8"/>
    <w:rsid w:val="0CFB142B"/>
    <w:rsid w:val="0D0B5B12"/>
    <w:rsid w:val="0D0C53E6"/>
    <w:rsid w:val="0D2E1801"/>
    <w:rsid w:val="0D352B8F"/>
    <w:rsid w:val="0D405E7A"/>
    <w:rsid w:val="0D417D8B"/>
    <w:rsid w:val="0D4234FE"/>
    <w:rsid w:val="0D474670"/>
    <w:rsid w:val="0D474A85"/>
    <w:rsid w:val="0D523741"/>
    <w:rsid w:val="0D892ADE"/>
    <w:rsid w:val="0D8D5BFB"/>
    <w:rsid w:val="0DAD6BC9"/>
    <w:rsid w:val="0DC02014"/>
    <w:rsid w:val="0DDF0D4D"/>
    <w:rsid w:val="0DE6032D"/>
    <w:rsid w:val="0DFA7935"/>
    <w:rsid w:val="0DFD0FF8"/>
    <w:rsid w:val="0E1E765B"/>
    <w:rsid w:val="0E2055ED"/>
    <w:rsid w:val="0E2A1FC8"/>
    <w:rsid w:val="0E2C017B"/>
    <w:rsid w:val="0E43752E"/>
    <w:rsid w:val="0E5A4271"/>
    <w:rsid w:val="0E5F3B43"/>
    <w:rsid w:val="0E7476E7"/>
    <w:rsid w:val="0E9438E5"/>
    <w:rsid w:val="0EA93835"/>
    <w:rsid w:val="0EB17FC5"/>
    <w:rsid w:val="0ED21F60"/>
    <w:rsid w:val="0F16254C"/>
    <w:rsid w:val="0F1F3AF7"/>
    <w:rsid w:val="0F503CB0"/>
    <w:rsid w:val="0F5117D6"/>
    <w:rsid w:val="0F5F3EF3"/>
    <w:rsid w:val="0F6106FC"/>
    <w:rsid w:val="0F76027C"/>
    <w:rsid w:val="0F895414"/>
    <w:rsid w:val="0F9718DF"/>
    <w:rsid w:val="0FA00911"/>
    <w:rsid w:val="0FB0474F"/>
    <w:rsid w:val="0FB45F85"/>
    <w:rsid w:val="0FB57FB7"/>
    <w:rsid w:val="0FC4644C"/>
    <w:rsid w:val="0FF02D9D"/>
    <w:rsid w:val="104430E9"/>
    <w:rsid w:val="104A41F3"/>
    <w:rsid w:val="10565E43"/>
    <w:rsid w:val="10773783"/>
    <w:rsid w:val="107A6B0B"/>
    <w:rsid w:val="1088747A"/>
    <w:rsid w:val="10BC5375"/>
    <w:rsid w:val="10BE2E9B"/>
    <w:rsid w:val="10CD7582"/>
    <w:rsid w:val="10E85185"/>
    <w:rsid w:val="10E8616A"/>
    <w:rsid w:val="10EF574B"/>
    <w:rsid w:val="110A7E8F"/>
    <w:rsid w:val="110C7E5C"/>
    <w:rsid w:val="11164461"/>
    <w:rsid w:val="11194576"/>
    <w:rsid w:val="112568A1"/>
    <w:rsid w:val="11330316"/>
    <w:rsid w:val="1142587A"/>
    <w:rsid w:val="115F642C"/>
    <w:rsid w:val="11627CCB"/>
    <w:rsid w:val="117874EE"/>
    <w:rsid w:val="11792D73"/>
    <w:rsid w:val="117F262B"/>
    <w:rsid w:val="1182036D"/>
    <w:rsid w:val="119D6F55"/>
    <w:rsid w:val="11A93B4C"/>
    <w:rsid w:val="11C16DD8"/>
    <w:rsid w:val="11D26342"/>
    <w:rsid w:val="11F823DD"/>
    <w:rsid w:val="12105979"/>
    <w:rsid w:val="121B624B"/>
    <w:rsid w:val="12303925"/>
    <w:rsid w:val="1240363F"/>
    <w:rsid w:val="124B075F"/>
    <w:rsid w:val="12501D82"/>
    <w:rsid w:val="125735A8"/>
    <w:rsid w:val="125921AD"/>
    <w:rsid w:val="12603922"/>
    <w:rsid w:val="126857B5"/>
    <w:rsid w:val="128123D2"/>
    <w:rsid w:val="12834728"/>
    <w:rsid w:val="128F4AEF"/>
    <w:rsid w:val="12944D09"/>
    <w:rsid w:val="12A72E93"/>
    <w:rsid w:val="12AA36D7"/>
    <w:rsid w:val="12B36856"/>
    <w:rsid w:val="12C0114D"/>
    <w:rsid w:val="12D80418"/>
    <w:rsid w:val="12F901BB"/>
    <w:rsid w:val="131119A8"/>
    <w:rsid w:val="1312127D"/>
    <w:rsid w:val="131B02C6"/>
    <w:rsid w:val="134247DD"/>
    <w:rsid w:val="134435AE"/>
    <w:rsid w:val="134C478E"/>
    <w:rsid w:val="13550837"/>
    <w:rsid w:val="136046DE"/>
    <w:rsid w:val="136A10B9"/>
    <w:rsid w:val="136E6DFB"/>
    <w:rsid w:val="13710699"/>
    <w:rsid w:val="137D703E"/>
    <w:rsid w:val="138228A6"/>
    <w:rsid w:val="13824C83"/>
    <w:rsid w:val="138C102F"/>
    <w:rsid w:val="1398275A"/>
    <w:rsid w:val="13987C45"/>
    <w:rsid w:val="139B3968"/>
    <w:rsid w:val="139D148E"/>
    <w:rsid w:val="13A026F0"/>
    <w:rsid w:val="13C95C5F"/>
    <w:rsid w:val="13D20CF7"/>
    <w:rsid w:val="13E702BF"/>
    <w:rsid w:val="13EC7D20"/>
    <w:rsid w:val="13F47B52"/>
    <w:rsid w:val="140E413A"/>
    <w:rsid w:val="141203BE"/>
    <w:rsid w:val="141B23B3"/>
    <w:rsid w:val="14251C31"/>
    <w:rsid w:val="142851FC"/>
    <w:rsid w:val="14302B3D"/>
    <w:rsid w:val="143D67CD"/>
    <w:rsid w:val="14587163"/>
    <w:rsid w:val="14740441"/>
    <w:rsid w:val="147815B3"/>
    <w:rsid w:val="147A357D"/>
    <w:rsid w:val="147F3002"/>
    <w:rsid w:val="14887A48"/>
    <w:rsid w:val="14904B4F"/>
    <w:rsid w:val="14A423A8"/>
    <w:rsid w:val="14B922F8"/>
    <w:rsid w:val="14C438D2"/>
    <w:rsid w:val="14CA62B3"/>
    <w:rsid w:val="14E53EAE"/>
    <w:rsid w:val="14FC78BD"/>
    <w:rsid w:val="151614F8"/>
    <w:rsid w:val="153D4A21"/>
    <w:rsid w:val="153E119C"/>
    <w:rsid w:val="1543751C"/>
    <w:rsid w:val="1548367B"/>
    <w:rsid w:val="155D0ED5"/>
    <w:rsid w:val="156A096D"/>
    <w:rsid w:val="156F6E5A"/>
    <w:rsid w:val="15724254"/>
    <w:rsid w:val="15793835"/>
    <w:rsid w:val="157D4A1B"/>
    <w:rsid w:val="157D50D3"/>
    <w:rsid w:val="158A5A42"/>
    <w:rsid w:val="15916DD0"/>
    <w:rsid w:val="15966F23"/>
    <w:rsid w:val="15A72150"/>
    <w:rsid w:val="15C076B6"/>
    <w:rsid w:val="15CD0D1D"/>
    <w:rsid w:val="15DE18EA"/>
    <w:rsid w:val="15EC4007"/>
    <w:rsid w:val="15F34C65"/>
    <w:rsid w:val="160A26DF"/>
    <w:rsid w:val="162A2218"/>
    <w:rsid w:val="16361726"/>
    <w:rsid w:val="163A7468"/>
    <w:rsid w:val="163D0D06"/>
    <w:rsid w:val="16516183"/>
    <w:rsid w:val="16665A4B"/>
    <w:rsid w:val="167504A0"/>
    <w:rsid w:val="16816E45"/>
    <w:rsid w:val="1686445B"/>
    <w:rsid w:val="168801D3"/>
    <w:rsid w:val="16893D11"/>
    <w:rsid w:val="16895AB9"/>
    <w:rsid w:val="16970417"/>
    <w:rsid w:val="16C805D0"/>
    <w:rsid w:val="16E63577"/>
    <w:rsid w:val="170D06D9"/>
    <w:rsid w:val="170D193E"/>
    <w:rsid w:val="170F4451"/>
    <w:rsid w:val="17372983"/>
    <w:rsid w:val="173739A8"/>
    <w:rsid w:val="175956CC"/>
    <w:rsid w:val="175E2CE2"/>
    <w:rsid w:val="176522C3"/>
    <w:rsid w:val="176A5B2B"/>
    <w:rsid w:val="176C53FF"/>
    <w:rsid w:val="1772678E"/>
    <w:rsid w:val="178070FD"/>
    <w:rsid w:val="17AC35EE"/>
    <w:rsid w:val="17BD5C5B"/>
    <w:rsid w:val="17CC40F0"/>
    <w:rsid w:val="17E53404"/>
    <w:rsid w:val="17F17FFA"/>
    <w:rsid w:val="17FD6BB8"/>
    <w:rsid w:val="18090EA0"/>
    <w:rsid w:val="180C2C40"/>
    <w:rsid w:val="18122E6D"/>
    <w:rsid w:val="181E2472"/>
    <w:rsid w:val="18226406"/>
    <w:rsid w:val="182818DF"/>
    <w:rsid w:val="182932F0"/>
    <w:rsid w:val="1838754B"/>
    <w:rsid w:val="183B55FD"/>
    <w:rsid w:val="18420856"/>
    <w:rsid w:val="188350F6"/>
    <w:rsid w:val="18866995"/>
    <w:rsid w:val="188B3FAB"/>
    <w:rsid w:val="188D30BA"/>
    <w:rsid w:val="18982224"/>
    <w:rsid w:val="189F6C54"/>
    <w:rsid w:val="18A8690B"/>
    <w:rsid w:val="18AC27E2"/>
    <w:rsid w:val="18BD1C8B"/>
    <w:rsid w:val="18CB3CF9"/>
    <w:rsid w:val="18DC0363"/>
    <w:rsid w:val="18E37943"/>
    <w:rsid w:val="18E975B9"/>
    <w:rsid w:val="18EE0096"/>
    <w:rsid w:val="18EE67CD"/>
    <w:rsid w:val="18F635BC"/>
    <w:rsid w:val="19063631"/>
    <w:rsid w:val="192279D8"/>
    <w:rsid w:val="19470A6D"/>
    <w:rsid w:val="195F5F86"/>
    <w:rsid w:val="19600174"/>
    <w:rsid w:val="19631115"/>
    <w:rsid w:val="19742C91"/>
    <w:rsid w:val="197A602D"/>
    <w:rsid w:val="19A60971"/>
    <w:rsid w:val="19BB08C0"/>
    <w:rsid w:val="19CB1A7C"/>
    <w:rsid w:val="19D11022"/>
    <w:rsid w:val="19D41982"/>
    <w:rsid w:val="19DB061A"/>
    <w:rsid w:val="1A0A53A3"/>
    <w:rsid w:val="1A1E4D06"/>
    <w:rsid w:val="1A2A15A2"/>
    <w:rsid w:val="1A2E4BEE"/>
    <w:rsid w:val="1A3513BF"/>
    <w:rsid w:val="1A381F10"/>
    <w:rsid w:val="1A420699"/>
    <w:rsid w:val="1A4306F3"/>
    <w:rsid w:val="1A564145"/>
    <w:rsid w:val="1A5D54D3"/>
    <w:rsid w:val="1A6C5716"/>
    <w:rsid w:val="1A6E148E"/>
    <w:rsid w:val="1A7A42D7"/>
    <w:rsid w:val="1A7F18ED"/>
    <w:rsid w:val="1A892C83"/>
    <w:rsid w:val="1AA2738A"/>
    <w:rsid w:val="1AAE3F9A"/>
    <w:rsid w:val="1AB43A12"/>
    <w:rsid w:val="1AB73866"/>
    <w:rsid w:val="1ABA0B77"/>
    <w:rsid w:val="1ACA7CD3"/>
    <w:rsid w:val="1AFB33F3"/>
    <w:rsid w:val="1AFE6CB6"/>
    <w:rsid w:val="1B041DF3"/>
    <w:rsid w:val="1B292BF5"/>
    <w:rsid w:val="1B2F50C2"/>
    <w:rsid w:val="1B3F107D"/>
    <w:rsid w:val="1B4436B1"/>
    <w:rsid w:val="1B46240B"/>
    <w:rsid w:val="1B5E7651"/>
    <w:rsid w:val="1B79633D"/>
    <w:rsid w:val="1B7E1BA5"/>
    <w:rsid w:val="1B862808"/>
    <w:rsid w:val="1B9E3FF5"/>
    <w:rsid w:val="1B9E5908"/>
    <w:rsid w:val="1BBB0703"/>
    <w:rsid w:val="1BC71156"/>
    <w:rsid w:val="1BE0016A"/>
    <w:rsid w:val="1C026332"/>
    <w:rsid w:val="1C0320AA"/>
    <w:rsid w:val="1C422BD3"/>
    <w:rsid w:val="1C493F61"/>
    <w:rsid w:val="1C5B1EE6"/>
    <w:rsid w:val="1C604905"/>
    <w:rsid w:val="1C646FED"/>
    <w:rsid w:val="1C647115"/>
    <w:rsid w:val="1C6C40F3"/>
    <w:rsid w:val="1C7B5E80"/>
    <w:rsid w:val="1C907DE2"/>
    <w:rsid w:val="1C915908"/>
    <w:rsid w:val="1C93342E"/>
    <w:rsid w:val="1C9B0535"/>
    <w:rsid w:val="1CB93479"/>
    <w:rsid w:val="1CC25AC1"/>
    <w:rsid w:val="1CCB0E1A"/>
    <w:rsid w:val="1CE75528"/>
    <w:rsid w:val="1D2D5631"/>
    <w:rsid w:val="1D440BCC"/>
    <w:rsid w:val="1D497F91"/>
    <w:rsid w:val="1D4F45B2"/>
    <w:rsid w:val="1D570900"/>
    <w:rsid w:val="1D644CE6"/>
    <w:rsid w:val="1D8B2357"/>
    <w:rsid w:val="1D9975F2"/>
    <w:rsid w:val="1DB1603D"/>
    <w:rsid w:val="1DBA2C3C"/>
    <w:rsid w:val="1DBF0E41"/>
    <w:rsid w:val="1DCA32FE"/>
    <w:rsid w:val="1DD0420E"/>
    <w:rsid w:val="1DE63A32"/>
    <w:rsid w:val="1DF443A0"/>
    <w:rsid w:val="1E0F11DA"/>
    <w:rsid w:val="1E14234D"/>
    <w:rsid w:val="1E285DF8"/>
    <w:rsid w:val="1E3B3D7D"/>
    <w:rsid w:val="1E4744D0"/>
    <w:rsid w:val="1E546BED"/>
    <w:rsid w:val="1E565562"/>
    <w:rsid w:val="1E594203"/>
    <w:rsid w:val="1E5B61CE"/>
    <w:rsid w:val="1E875215"/>
    <w:rsid w:val="1E910554"/>
    <w:rsid w:val="1E92684F"/>
    <w:rsid w:val="1E965458"/>
    <w:rsid w:val="1EA850C9"/>
    <w:rsid w:val="1ED0096A"/>
    <w:rsid w:val="1ED63AA6"/>
    <w:rsid w:val="1EDC643D"/>
    <w:rsid w:val="1EDD6BE3"/>
    <w:rsid w:val="1EE61F3B"/>
    <w:rsid w:val="1EEA61D9"/>
    <w:rsid w:val="1EF152F7"/>
    <w:rsid w:val="1F176598"/>
    <w:rsid w:val="1F1C3BAF"/>
    <w:rsid w:val="1F2667DB"/>
    <w:rsid w:val="1F274302"/>
    <w:rsid w:val="1F2962CC"/>
    <w:rsid w:val="1F372797"/>
    <w:rsid w:val="1F3D37F5"/>
    <w:rsid w:val="1F5350F7"/>
    <w:rsid w:val="1F574BE7"/>
    <w:rsid w:val="1F5F1CED"/>
    <w:rsid w:val="1F642E60"/>
    <w:rsid w:val="1F72557D"/>
    <w:rsid w:val="1F7B3849"/>
    <w:rsid w:val="1F8325A2"/>
    <w:rsid w:val="1F84433B"/>
    <w:rsid w:val="1F923E71"/>
    <w:rsid w:val="1F9508F9"/>
    <w:rsid w:val="1F9E2332"/>
    <w:rsid w:val="1FA871F0"/>
    <w:rsid w:val="1FB738D7"/>
    <w:rsid w:val="1FC2207A"/>
    <w:rsid w:val="1FC50CDE"/>
    <w:rsid w:val="1FD24CDB"/>
    <w:rsid w:val="1FDB75C6"/>
    <w:rsid w:val="1FE83304"/>
    <w:rsid w:val="1FF64400"/>
    <w:rsid w:val="20023E1E"/>
    <w:rsid w:val="200D1749"/>
    <w:rsid w:val="2011123A"/>
    <w:rsid w:val="20210D51"/>
    <w:rsid w:val="20270EF3"/>
    <w:rsid w:val="203A19D4"/>
    <w:rsid w:val="204C2272"/>
    <w:rsid w:val="20542ED4"/>
    <w:rsid w:val="20607ACB"/>
    <w:rsid w:val="206E2673"/>
    <w:rsid w:val="20914EF8"/>
    <w:rsid w:val="20B322F1"/>
    <w:rsid w:val="20B816B5"/>
    <w:rsid w:val="20BA367F"/>
    <w:rsid w:val="20BB2F53"/>
    <w:rsid w:val="20C22534"/>
    <w:rsid w:val="20CE0ED9"/>
    <w:rsid w:val="20D52267"/>
    <w:rsid w:val="21002AB1"/>
    <w:rsid w:val="21004E0A"/>
    <w:rsid w:val="21135AB4"/>
    <w:rsid w:val="21162880"/>
    <w:rsid w:val="21346514"/>
    <w:rsid w:val="2136082C"/>
    <w:rsid w:val="215E4B09"/>
    <w:rsid w:val="216435EB"/>
    <w:rsid w:val="2187258D"/>
    <w:rsid w:val="219B0C22"/>
    <w:rsid w:val="21B26104"/>
    <w:rsid w:val="21B81538"/>
    <w:rsid w:val="21BA76AF"/>
    <w:rsid w:val="21ED35E0"/>
    <w:rsid w:val="21F42BC1"/>
    <w:rsid w:val="22032E04"/>
    <w:rsid w:val="221B014E"/>
    <w:rsid w:val="22505D53"/>
    <w:rsid w:val="22550014"/>
    <w:rsid w:val="225F43D1"/>
    <w:rsid w:val="226F2247"/>
    <w:rsid w:val="22721A61"/>
    <w:rsid w:val="22721D38"/>
    <w:rsid w:val="22821F7B"/>
    <w:rsid w:val="22C25F28"/>
    <w:rsid w:val="22C34341"/>
    <w:rsid w:val="22C72083"/>
    <w:rsid w:val="22C73E32"/>
    <w:rsid w:val="22CB032B"/>
    <w:rsid w:val="22E569AE"/>
    <w:rsid w:val="231828DF"/>
    <w:rsid w:val="2335483E"/>
    <w:rsid w:val="23582CDC"/>
    <w:rsid w:val="2368364D"/>
    <w:rsid w:val="237D2742"/>
    <w:rsid w:val="23847F75"/>
    <w:rsid w:val="239F4DAE"/>
    <w:rsid w:val="23B4085A"/>
    <w:rsid w:val="23BA1BE8"/>
    <w:rsid w:val="23BF0FAD"/>
    <w:rsid w:val="23C16AD3"/>
    <w:rsid w:val="23C2284B"/>
    <w:rsid w:val="23CE7442"/>
    <w:rsid w:val="23D57467"/>
    <w:rsid w:val="24015121"/>
    <w:rsid w:val="241975DF"/>
    <w:rsid w:val="242B03F0"/>
    <w:rsid w:val="242E63DA"/>
    <w:rsid w:val="24631A3E"/>
    <w:rsid w:val="2466790C"/>
    <w:rsid w:val="246758CC"/>
    <w:rsid w:val="246E38A3"/>
    <w:rsid w:val="2472601F"/>
    <w:rsid w:val="24A02283"/>
    <w:rsid w:val="24CF413A"/>
    <w:rsid w:val="24D46CDA"/>
    <w:rsid w:val="24E707BB"/>
    <w:rsid w:val="24E8008F"/>
    <w:rsid w:val="24F9229C"/>
    <w:rsid w:val="250F7D12"/>
    <w:rsid w:val="251315B0"/>
    <w:rsid w:val="252C614D"/>
    <w:rsid w:val="25381017"/>
    <w:rsid w:val="254A0D4A"/>
    <w:rsid w:val="258204E4"/>
    <w:rsid w:val="25853205"/>
    <w:rsid w:val="25867FD4"/>
    <w:rsid w:val="258C66D0"/>
    <w:rsid w:val="25916979"/>
    <w:rsid w:val="25BF23A5"/>
    <w:rsid w:val="25C22843"/>
    <w:rsid w:val="25CB2C46"/>
    <w:rsid w:val="25D32AED"/>
    <w:rsid w:val="25DE1BBE"/>
    <w:rsid w:val="25F018F1"/>
    <w:rsid w:val="25FA2770"/>
    <w:rsid w:val="26031625"/>
    <w:rsid w:val="260D4251"/>
    <w:rsid w:val="260F621B"/>
    <w:rsid w:val="26151358"/>
    <w:rsid w:val="262B2929"/>
    <w:rsid w:val="26501B59"/>
    <w:rsid w:val="26543C2E"/>
    <w:rsid w:val="26597496"/>
    <w:rsid w:val="26647BE9"/>
    <w:rsid w:val="26720558"/>
    <w:rsid w:val="267E514F"/>
    <w:rsid w:val="268838D8"/>
    <w:rsid w:val="268F110A"/>
    <w:rsid w:val="26922D3D"/>
    <w:rsid w:val="26997893"/>
    <w:rsid w:val="26D134D1"/>
    <w:rsid w:val="26DB185D"/>
    <w:rsid w:val="26F63EF8"/>
    <w:rsid w:val="27167136"/>
    <w:rsid w:val="27343A60"/>
    <w:rsid w:val="275B0FEC"/>
    <w:rsid w:val="275D31A1"/>
    <w:rsid w:val="276C4FA7"/>
    <w:rsid w:val="277327DA"/>
    <w:rsid w:val="277A5DA9"/>
    <w:rsid w:val="27887F6F"/>
    <w:rsid w:val="27893DAB"/>
    <w:rsid w:val="2790513A"/>
    <w:rsid w:val="27906EE8"/>
    <w:rsid w:val="279D0666"/>
    <w:rsid w:val="27A40BE5"/>
    <w:rsid w:val="27A6670B"/>
    <w:rsid w:val="27AC35F6"/>
    <w:rsid w:val="27C60B5C"/>
    <w:rsid w:val="27C6290A"/>
    <w:rsid w:val="27F8683B"/>
    <w:rsid w:val="27FA25B3"/>
    <w:rsid w:val="27FC27CF"/>
    <w:rsid w:val="27FF46BE"/>
    <w:rsid w:val="282C1163"/>
    <w:rsid w:val="283C441D"/>
    <w:rsid w:val="283D6944"/>
    <w:rsid w:val="28482CCD"/>
    <w:rsid w:val="28520641"/>
    <w:rsid w:val="28546167"/>
    <w:rsid w:val="28575C58"/>
    <w:rsid w:val="2859377E"/>
    <w:rsid w:val="285C501C"/>
    <w:rsid w:val="28642123"/>
    <w:rsid w:val="287839C5"/>
    <w:rsid w:val="28907FC8"/>
    <w:rsid w:val="28926CDF"/>
    <w:rsid w:val="289D0EEA"/>
    <w:rsid w:val="28AB7D51"/>
    <w:rsid w:val="28AD1D1C"/>
    <w:rsid w:val="28B766F6"/>
    <w:rsid w:val="28C037FD"/>
    <w:rsid w:val="28C17575"/>
    <w:rsid w:val="28D01566"/>
    <w:rsid w:val="28D923D6"/>
    <w:rsid w:val="28DE1ED5"/>
    <w:rsid w:val="28EC2844"/>
    <w:rsid w:val="290B259E"/>
    <w:rsid w:val="290C48FB"/>
    <w:rsid w:val="292A511A"/>
    <w:rsid w:val="292E4C0A"/>
    <w:rsid w:val="294C32E2"/>
    <w:rsid w:val="29534671"/>
    <w:rsid w:val="29542197"/>
    <w:rsid w:val="29565F0F"/>
    <w:rsid w:val="29752839"/>
    <w:rsid w:val="297B7724"/>
    <w:rsid w:val="29860ECD"/>
    <w:rsid w:val="29934A6D"/>
    <w:rsid w:val="29A02657"/>
    <w:rsid w:val="29A7676B"/>
    <w:rsid w:val="29AC5B2F"/>
    <w:rsid w:val="29B13146"/>
    <w:rsid w:val="29BA46F0"/>
    <w:rsid w:val="29C42E79"/>
    <w:rsid w:val="29C54E43"/>
    <w:rsid w:val="29C56BF1"/>
    <w:rsid w:val="29D4450D"/>
    <w:rsid w:val="29E65D08"/>
    <w:rsid w:val="2A010C35"/>
    <w:rsid w:val="2A027E45"/>
    <w:rsid w:val="2A0405CD"/>
    <w:rsid w:val="2A063491"/>
    <w:rsid w:val="2A1B4BD8"/>
    <w:rsid w:val="2A2B739C"/>
    <w:rsid w:val="2A355813"/>
    <w:rsid w:val="2A377AEF"/>
    <w:rsid w:val="2A436E3A"/>
    <w:rsid w:val="2A44220C"/>
    <w:rsid w:val="2A4E6BE6"/>
    <w:rsid w:val="2A4E6D71"/>
    <w:rsid w:val="2A5266D7"/>
    <w:rsid w:val="2A692293"/>
    <w:rsid w:val="2A77613D"/>
    <w:rsid w:val="2A7A1132"/>
    <w:rsid w:val="2A7A5C2D"/>
    <w:rsid w:val="2A9036A3"/>
    <w:rsid w:val="2A9211C9"/>
    <w:rsid w:val="2AC11AAE"/>
    <w:rsid w:val="2ACB177A"/>
    <w:rsid w:val="2AEF03C9"/>
    <w:rsid w:val="2AFE060C"/>
    <w:rsid w:val="2B163BA8"/>
    <w:rsid w:val="2B17347C"/>
    <w:rsid w:val="2B4E4BC9"/>
    <w:rsid w:val="2B505179"/>
    <w:rsid w:val="2B53527E"/>
    <w:rsid w:val="2B5B780D"/>
    <w:rsid w:val="2B603075"/>
    <w:rsid w:val="2B6C1B93"/>
    <w:rsid w:val="2B7437E3"/>
    <w:rsid w:val="2B77585C"/>
    <w:rsid w:val="2B8C3E6A"/>
    <w:rsid w:val="2B9F5928"/>
    <w:rsid w:val="2BA411B4"/>
    <w:rsid w:val="2BBE1B4A"/>
    <w:rsid w:val="2BCC070B"/>
    <w:rsid w:val="2BD355F5"/>
    <w:rsid w:val="2BDA4BD6"/>
    <w:rsid w:val="2BDB094E"/>
    <w:rsid w:val="2BE5357A"/>
    <w:rsid w:val="2BEA716D"/>
    <w:rsid w:val="2BF17D12"/>
    <w:rsid w:val="2C155C0E"/>
    <w:rsid w:val="2C41074B"/>
    <w:rsid w:val="2C630C92"/>
    <w:rsid w:val="2C640943"/>
    <w:rsid w:val="2C6B7F24"/>
    <w:rsid w:val="2C785CF3"/>
    <w:rsid w:val="2C820DC9"/>
    <w:rsid w:val="2CA174A1"/>
    <w:rsid w:val="2CAD2A2E"/>
    <w:rsid w:val="2CC118F2"/>
    <w:rsid w:val="2CCC7E5E"/>
    <w:rsid w:val="2CD23AFF"/>
    <w:rsid w:val="2CD77367"/>
    <w:rsid w:val="2CD86C3B"/>
    <w:rsid w:val="2CD96A31"/>
    <w:rsid w:val="2CDD4252"/>
    <w:rsid w:val="2CED26E7"/>
    <w:rsid w:val="2D0619FA"/>
    <w:rsid w:val="2D154D87"/>
    <w:rsid w:val="2D1B54A6"/>
    <w:rsid w:val="2D2F0F51"/>
    <w:rsid w:val="2D355E3C"/>
    <w:rsid w:val="2D39592C"/>
    <w:rsid w:val="2D6B7AAF"/>
    <w:rsid w:val="2D826F7D"/>
    <w:rsid w:val="2D8F379E"/>
    <w:rsid w:val="2D9139BA"/>
    <w:rsid w:val="2DAC5BFF"/>
    <w:rsid w:val="2DB65685"/>
    <w:rsid w:val="2DD108AD"/>
    <w:rsid w:val="2DDD275B"/>
    <w:rsid w:val="2DFF1306"/>
    <w:rsid w:val="2E0F2C00"/>
    <w:rsid w:val="2E112405"/>
    <w:rsid w:val="2E141396"/>
    <w:rsid w:val="2E4921D2"/>
    <w:rsid w:val="2E4E3659"/>
    <w:rsid w:val="2E6B63A8"/>
    <w:rsid w:val="2E776545"/>
    <w:rsid w:val="2E8452CD"/>
    <w:rsid w:val="2E935510"/>
    <w:rsid w:val="2E990663"/>
    <w:rsid w:val="2E9C457C"/>
    <w:rsid w:val="2EC54D71"/>
    <w:rsid w:val="2EC76F67"/>
    <w:rsid w:val="2ECA0BB9"/>
    <w:rsid w:val="2EF7784D"/>
    <w:rsid w:val="2F104DB2"/>
    <w:rsid w:val="2F210D6D"/>
    <w:rsid w:val="2F2919D0"/>
    <w:rsid w:val="2F436F36"/>
    <w:rsid w:val="2F4B1777"/>
    <w:rsid w:val="2F5C1DA5"/>
    <w:rsid w:val="2F5E5B1E"/>
    <w:rsid w:val="2F68074A"/>
    <w:rsid w:val="2F8D01B1"/>
    <w:rsid w:val="2F974B8C"/>
    <w:rsid w:val="2FA572A9"/>
    <w:rsid w:val="2FD6110E"/>
    <w:rsid w:val="2FDF507A"/>
    <w:rsid w:val="2FE36023"/>
    <w:rsid w:val="300D26F4"/>
    <w:rsid w:val="30474804"/>
    <w:rsid w:val="30644CA3"/>
    <w:rsid w:val="30696528"/>
    <w:rsid w:val="307114C0"/>
    <w:rsid w:val="30BD1043"/>
    <w:rsid w:val="30CD7CC6"/>
    <w:rsid w:val="30E67B79"/>
    <w:rsid w:val="30E7607F"/>
    <w:rsid w:val="30F77FD8"/>
    <w:rsid w:val="30FC55EE"/>
    <w:rsid w:val="30FD4EC2"/>
    <w:rsid w:val="31012C04"/>
    <w:rsid w:val="31085D41"/>
    <w:rsid w:val="311814D0"/>
    <w:rsid w:val="312729A3"/>
    <w:rsid w:val="31280191"/>
    <w:rsid w:val="313034EA"/>
    <w:rsid w:val="31322DBE"/>
    <w:rsid w:val="313D1023"/>
    <w:rsid w:val="31772EC7"/>
    <w:rsid w:val="318B0720"/>
    <w:rsid w:val="3196159F"/>
    <w:rsid w:val="319B4E07"/>
    <w:rsid w:val="31B10DC3"/>
    <w:rsid w:val="31B23EFF"/>
    <w:rsid w:val="31B61C41"/>
    <w:rsid w:val="31B72556"/>
    <w:rsid w:val="31CF2D03"/>
    <w:rsid w:val="31D200FD"/>
    <w:rsid w:val="31D6101F"/>
    <w:rsid w:val="31EB2201"/>
    <w:rsid w:val="31F43D9A"/>
    <w:rsid w:val="32080736"/>
    <w:rsid w:val="321C75CA"/>
    <w:rsid w:val="321D3A6E"/>
    <w:rsid w:val="322070BA"/>
    <w:rsid w:val="32235595"/>
    <w:rsid w:val="32287923"/>
    <w:rsid w:val="32352DE8"/>
    <w:rsid w:val="32430FFB"/>
    <w:rsid w:val="32560D2E"/>
    <w:rsid w:val="325E63AD"/>
    <w:rsid w:val="326909BD"/>
    <w:rsid w:val="32737410"/>
    <w:rsid w:val="327D275F"/>
    <w:rsid w:val="32BD2B5B"/>
    <w:rsid w:val="32DC13D0"/>
    <w:rsid w:val="32F0489C"/>
    <w:rsid w:val="32F80037"/>
    <w:rsid w:val="32FD564D"/>
    <w:rsid w:val="33572FB0"/>
    <w:rsid w:val="33631954"/>
    <w:rsid w:val="33A30715"/>
    <w:rsid w:val="33A645AB"/>
    <w:rsid w:val="33B20E28"/>
    <w:rsid w:val="33B2468A"/>
    <w:rsid w:val="33B600AF"/>
    <w:rsid w:val="33E5680D"/>
    <w:rsid w:val="33F571F4"/>
    <w:rsid w:val="33F702EF"/>
    <w:rsid w:val="34014CC9"/>
    <w:rsid w:val="34076784"/>
    <w:rsid w:val="340E3A24"/>
    <w:rsid w:val="341449FD"/>
    <w:rsid w:val="341D7D55"/>
    <w:rsid w:val="342310E4"/>
    <w:rsid w:val="343D21A6"/>
    <w:rsid w:val="34425A0E"/>
    <w:rsid w:val="344C063B"/>
    <w:rsid w:val="34515C51"/>
    <w:rsid w:val="345562CA"/>
    <w:rsid w:val="345C4F71"/>
    <w:rsid w:val="345D3F16"/>
    <w:rsid w:val="34621C0C"/>
    <w:rsid w:val="34654746"/>
    <w:rsid w:val="34677222"/>
    <w:rsid w:val="34784F8C"/>
    <w:rsid w:val="34802092"/>
    <w:rsid w:val="34873421"/>
    <w:rsid w:val="349252E5"/>
    <w:rsid w:val="34B93429"/>
    <w:rsid w:val="34C06C13"/>
    <w:rsid w:val="34D67F04"/>
    <w:rsid w:val="34E72111"/>
    <w:rsid w:val="34EA3E83"/>
    <w:rsid w:val="34F87C23"/>
    <w:rsid w:val="35092088"/>
    <w:rsid w:val="350D2621"/>
    <w:rsid w:val="350E0900"/>
    <w:rsid w:val="351647A5"/>
    <w:rsid w:val="356D2734"/>
    <w:rsid w:val="357C53EF"/>
    <w:rsid w:val="35D24B6F"/>
    <w:rsid w:val="35EB5C31"/>
    <w:rsid w:val="35F80CCB"/>
    <w:rsid w:val="361B6516"/>
    <w:rsid w:val="3624675C"/>
    <w:rsid w:val="36260362"/>
    <w:rsid w:val="36483084"/>
    <w:rsid w:val="366176F9"/>
    <w:rsid w:val="366A2FFA"/>
    <w:rsid w:val="36883480"/>
    <w:rsid w:val="36AE1139"/>
    <w:rsid w:val="36B129D7"/>
    <w:rsid w:val="36E36539"/>
    <w:rsid w:val="36FD32F5"/>
    <w:rsid w:val="370D6CBE"/>
    <w:rsid w:val="370E1BD7"/>
    <w:rsid w:val="37265173"/>
    <w:rsid w:val="3740432B"/>
    <w:rsid w:val="3756601A"/>
    <w:rsid w:val="375A7D60"/>
    <w:rsid w:val="375F0AE7"/>
    <w:rsid w:val="37661A13"/>
    <w:rsid w:val="379245B6"/>
    <w:rsid w:val="379E1CE6"/>
    <w:rsid w:val="37A8202C"/>
    <w:rsid w:val="37B81020"/>
    <w:rsid w:val="37BE35FD"/>
    <w:rsid w:val="37C64DFA"/>
    <w:rsid w:val="37EA43F2"/>
    <w:rsid w:val="37EC30EB"/>
    <w:rsid w:val="382D4342"/>
    <w:rsid w:val="383C4522"/>
    <w:rsid w:val="386343CD"/>
    <w:rsid w:val="3886468A"/>
    <w:rsid w:val="389600D6"/>
    <w:rsid w:val="38AF47EF"/>
    <w:rsid w:val="38AF73EA"/>
    <w:rsid w:val="38BB18EB"/>
    <w:rsid w:val="38C9767F"/>
    <w:rsid w:val="38DB3D3B"/>
    <w:rsid w:val="38E54BBA"/>
    <w:rsid w:val="38E76B84"/>
    <w:rsid w:val="38F66DC7"/>
    <w:rsid w:val="392A081F"/>
    <w:rsid w:val="39400042"/>
    <w:rsid w:val="394153F5"/>
    <w:rsid w:val="39475874"/>
    <w:rsid w:val="39665CFB"/>
    <w:rsid w:val="397E5D50"/>
    <w:rsid w:val="39972358"/>
    <w:rsid w:val="39A03EED"/>
    <w:rsid w:val="39BC756A"/>
    <w:rsid w:val="39CF3B33"/>
    <w:rsid w:val="39E3559D"/>
    <w:rsid w:val="39E9692C"/>
    <w:rsid w:val="3A013C75"/>
    <w:rsid w:val="3A19481E"/>
    <w:rsid w:val="3A211C22"/>
    <w:rsid w:val="3A2A5889"/>
    <w:rsid w:val="3A323E2F"/>
    <w:rsid w:val="3A3758E9"/>
    <w:rsid w:val="3A4122C4"/>
    <w:rsid w:val="3A4D0C68"/>
    <w:rsid w:val="3A550FAE"/>
    <w:rsid w:val="3A697FA7"/>
    <w:rsid w:val="3A6D130B"/>
    <w:rsid w:val="3A7155EC"/>
    <w:rsid w:val="3A797CAF"/>
    <w:rsid w:val="3A807C42"/>
    <w:rsid w:val="3A8D5405"/>
    <w:rsid w:val="3AA0523C"/>
    <w:rsid w:val="3AC106EB"/>
    <w:rsid w:val="3AC5600A"/>
    <w:rsid w:val="3AC84793"/>
    <w:rsid w:val="3ACB6B6C"/>
    <w:rsid w:val="3B2A0FAA"/>
    <w:rsid w:val="3B2B01B9"/>
    <w:rsid w:val="3B2B567D"/>
    <w:rsid w:val="3B4200A1"/>
    <w:rsid w:val="3B421A53"/>
    <w:rsid w:val="3B455DE4"/>
    <w:rsid w:val="3B491430"/>
    <w:rsid w:val="3B547DD5"/>
    <w:rsid w:val="3B645FB8"/>
    <w:rsid w:val="3B8E778B"/>
    <w:rsid w:val="3B9C1EA7"/>
    <w:rsid w:val="3B9F54F4"/>
    <w:rsid w:val="3BAF5E70"/>
    <w:rsid w:val="3BC60CD2"/>
    <w:rsid w:val="3BD55D23"/>
    <w:rsid w:val="3BE03C86"/>
    <w:rsid w:val="3BF82E56"/>
    <w:rsid w:val="3C033CD5"/>
    <w:rsid w:val="3C086703"/>
    <w:rsid w:val="3C3D7D22"/>
    <w:rsid w:val="3C4165AB"/>
    <w:rsid w:val="3C4340D1"/>
    <w:rsid w:val="3C460065"/>
    <w:rsid w:val="3C564E7E"/>
    <w:rsid w:val="3C590AB8"/>
    <w:rsid w:val="3C666012"/>
    <w:rsid w:val="3C695C95"/>
    <w:rsid w:val="3C6F136A"/>
    <w:rsid w:val="3C740559"/>
    <w:rsid w:val="3C7E335B"/>
    <w:rsid w:val="3C85293C"/>
    <w:rsid w:val="3C97441D"/>
    <w:rsid w:val="3CAA23A2"/>
    <w:rsid w:val="3CFB790F"/>
    <w:rsid w:val="3D112603"/>
    <w:rsid w:val="3D114010"/>
    <w:rsid w:val="3D1912D6"/>
    <w:rsid w:val="3D211F38"/>
    <w:rsid w:val="3D3A45A0"/>
    <w:rsid w:val="3D3A4A98"/>
    <w:rsid w:val="3D3D4FC4"/>
    <w:rsid w:val="3D4049D7"/>
    <w:rsid w:val="3D4E6F79"/>
    <w:rsid w:val="3D695DB9"/>
    <w:rsid w:val="3D730806"/>
    <w:rsid w:val="3D736C38"/>
    <w:rsid w:val="3D807CF1"/>
    <w:rsid w:val="3D8314AE"/>
    <w:rsid w:val="3DAC6250"/>
    <w:rsid w:val="3DF5589F"/>
    <w:rsid w:val="3DF61F0B"/>
    <w:rsid w:val="3DF74B83"/>
    <w:rsid w:val="3DF76196"/>
    <w:rsid w:val="3E03620E"/>
    <w:rsid w:val="3E0B20DF"/>
    <w:rsid w:val="3E210442"/>
    <w:rsid w:val="3E260B01"/>
    <w:rsid w:val="3E2844DF"/>
    <w:rsid w:val="3E5527E2"/>
    <w:rsid w:val="3E5C76CC"/>
    <w:rsid w:val="3E8A248B"/>
    <w:rsid w:val="3E8B6203"/>
    <w:rsid w:val="3EA15500"/>
    <w:rsid w:val="3EA80B63"/>
    <w:rsid w:val="3EB43064"/>
    <w:rsid w:val="3EBE210D"/>
    <w:rsid w:val="3EE35803"/>
    <w:rsid w:val="3F0A35CC"/>
    <w:rsid w:val="3F1A43A7"/>
    <w:rsid w:val="3F265D29"/>
    <w:rsid w:val="3F2A1772"/>
    <w:rsid w:val="3F446ADE"/>
    <w:rsid w:val="3F4C5993"/>
    <w:rsid w:val="3F4E312F"/>
    <w:rsid w:val="3F514D57"/>
    <w:rsid w:val="3F650802"/>
    <w:rsid w:val="3F9872FF"/>
    <w:rsid w:val="3F9904AC"/>
    <w:rsid w:val="3FA64784"/>
    <w:rsid w:val="3FB377C0"/>
    <w:rsid w:val="3FB452E6"/>
    <w:rsid w:val="3FC45529"/>
    <w:rsid w:val="3FCA4B09"/>
    <w:rsid w:val="3FD72276"/>
    <w:rsid w:val="3FDD65EB"/>
    <w:rsid w:val="40177900"/>
    <w:rsid w:val="40195390"/>
    <w:rsid w:val="402755D3"/>
    <w:rsid w:val="402C30CE"/>
    <w:rsid w:val="402D7572"/>
    <w:rsid w:val="40354F18"/>
    <w:rsid w:val="403A57EB"/>
    <w:rsid w:val="403A795B"/>
    <w:rsid w:val="405A7C3B"/>
    <w:rsid w:val="406665E0"/>
    <w:rsid w:val="406D6A2D"/>
    <w:rsid w:val="408A205A"/>
    <w:rsid w:val="40B144DB"/>
    <w:rsid w:val="40CC37CF"/>
    <w:rsid w:val="40D914A8"/>
    <w:rsid w:val="40DD7233"/>
    <w:rsid w:val="40F005A0"/>
    <w:rsid w:val="41140732"/>
    <w:rsid w:val="41230975"/>
    <w:rsid w:val="412F0C11"/>
    <w:rsid w:val="41323B5F"/>
    <w:rsid w:val="414076D9"/>
    <w:rsid w:val="41517290"/>
    <w:rsid w:val="415706A3"/>
    <w:rsid w:val="415A4125"/>
    <w:rsid w:val="4167720B"/>
    <w:rsid w:val="416F3BBA"/>
    <w:rsid w:val="417C1E33"/>
    <w:rsid w:val="418036D2"/>
    <w:rsid w:val="418D5DEE"/>
    <w:rsid w:val="41C537DA"/>
    <w:rsid w:val="41DC4B35"/>
    <w:rsid w:val="42057FD0"/>
    <w:rsid w:val="422B1CFC"/>
    <w:rsid w:val="42576B28"/>
    <w:rsid w:val="425C6FFD"/>
    <w:rsid w:val="425D1C65"/>
    <w:rsid w:val="427053F0"/>
    <w:rsid w:val="427A45C5"/>
    <w:rsid w:val="42884F34"/>
    <w:rsid w:val="42890CAC"/>
    <w:rsid w:val="429E4757"/>
    <w:rsid w:val="42AE6F5D"/>
    <w:rsid w:val="42B15B0D"/>
    <w:rsid w:val="42CD6DEA"/>
    <w:rsid w:val="42E67EAC"/>
    <w:rsid w:val="42F00D2B"/>
    <w:rsid w:val="43123854"/>
    <w:rsid w:val="431C567C"/>
    <w:rsid w:val="43262901"/>
    <w:rsid w:val="432C6151"/>
    <w:rsid w:val="434E0FBB"/>
    <w:rsid w:val="435358FC"/>
    <w:rsid w:val="435766B4"/>
    <w:rsid w:val="435E5C94"/>
    <w:rsid w:val="43892B43"/>
    <w:rsid w:val="43B253F6"/>
    <w:rsid w:val="43BD26D0"/>
    <w:rsid w:val="43C34618"/>
    <w:rsid w:val="43CD2B60"/>
    <w:rsid w:val="43D21F61"/>
    <w:rsid w:val="43E22422"/>
    <w:rsid w:val="44185E43"/>
    <w:rsid w:val="441B3B85"/>
    <w:rsid w:val="44260908"/>
    <w:rsid w:val="44572454"/>
    <w:rsid w:val="44613C8E"/>
    <w:rsid w:val="44663053"/>
    <w:rsid w:val="44A33977"/>
    <w:rsid w:val="44AA2724"/>
    <w:rsid w:val="44AB6CB7"/>
    <w:rsid w:val="44B82FB3"/>
    <w:rsid w:val="44C92BBC"/>
    <w:rsid w:val="44D1237A"/>
    <w:rsid w:val="44D3620E"/>
    <w:rsid w:val="44DA22F8"/>
    <w:rsid w:val="44E16B7D"/>
    <w:rsid w:val="44E4666D"/>
    <w:rsid w:val="451F76A5"/>
    <w:rsid w:val="45252F0E"/>
    <w:rsid w:val="453A628D"/>
    <w:rsid w:val="455F7AA2"/>
    <w:rsid w:val="45617CBE"/>
    <w:rsid w:val="4565155C"/>
    <w:rsid w:val="457049DE"/>
    <w:rsid w:val="457A5814"/>
    <w:rsid w:val="45871ACC"/>
    <w:rsid w:val="45A1630C"/>
    <w:rsid w:val="45A32E70"/>
    <w:rsid w:val="45A858ED"/>
    <w:rsid w:val="45C5024D"/>
    <w:rsid w:val="45C53DA9"/>
    <w:rsid w:val="45CE26E6"/>
    <w:rsid w:val="45D40B51"/>
    <w:rsid w:val="45F07DAD"/>
    <w:rsid w:val="46016316"/>
    <w:rsid w:val="4609638B"/>
    <w:rsid w:val="460A0C95"/>
    <w:rsid w:val="46115240"/>
    <w:rsid w:val="461B7E6D"/>
    <w:rsid w:val="462E5DF2"/>
    <w:rsid w:val="46401681"/>
    <w:rsid w:val="464C44CA"/>
    <w:rsid w:val="46623CEE"/>
    <w:rsid w:val="46752C96"/>
    <w:rsid w:val="467B798F"/>
    <w:rsid w:val="469742E2"/>
    <w:rsid w:val="469A5235"/>
    <w:rsid w:val="46BD2565"/>
    <w:rsid w:val="46CA24DF"/>
    <w:rsid w:val="46D83FB0"/>
    <w:rsid w:val="46DD3374"/>
    <w:rsid w:val="46DE74BD"/>
    <w:rsid w:val="46E1257B"/>
    <w:rsid w:val="46E6047B"/>
    <w:rsid w:val="46F26E20"/>
    <w:rsid w:val="46FF32EA"/>
    <w:rsid w:val="471C5C4A"/>
    <w:rsid w:val="47240FA3"/>
    <w:rsid w:val="473311E6"/>
    <w:rsid w:val="475573AE"/>
    <w:rsid w:val="475E44B5"/>
    <w:rsid w:val="478101A3"/>
    <w:rsid w:val="478B1022"/>
    <w:rsid w:val="47946129"/>
    <w:rsid w:val="479B74B7"/>
    <w:rsid w:val="47AB4DBB"/>
    <w:rsid w:val="47AF6ABF"/>
    <w:rsid w:val="48013092"/>
    <w:rsid w:val="48435459"/>
    <w:rsid w:val="484511D1"/>
    <w:rsid w:val="4847319B"/>
    <w:rsid w:val="485D29BF"/>
    <w:rsid w:val="485D651B"/>
    <w:rsid w:val="486A0C38"/>
    <w:rsid w:val="487D4E0F"/>
    <w:rsid w:val="489D20F5"/>
    <w:rsid w:val="48AB18F8"/>
    <w:rsid w:val="48AD203F"/>
    <w:rsid w:val="48D10CB7"/>
    <w:rsid w:val="49156DF5"/>
    <w:rsid w:val="496F0BFB"/>
    <w:rsid w:val="497C6E74"/>
    <w:rsid w:val="4983530A"/>
    <w:rsid w:val="499538FB"/>
    <w:rsid w:val="49973CAE"/>
    <w:rsid w:val="49A62143"/>
    <w:rsid w:val="49C66341"/>
    <w:rsid w:val="49D96075"/>
    <w:rsid w:val="49E05655"/>
    <w:rsid w:val="49E15CD9"/>
    <w:rsid w:val="49E36EF3"/>
    <w:rsid w:val="4A143551"/>
    <w:rsid w:val="4A37164A"/>
    <w:rsid w:val="4A38723F"/>
    <w:rsid w:val="4A437992"/>
    <w:rsid w:val="4A600544"/>
    <w:rsid w:val="4A622001"/>
    <w:rsid w:val="4A7356FB"/>
    <w:rsid w:val="4A7B537E"/>
    <w:rsid w:val="4A857FAB"/>
    <w:rsid w:val="4A9621B8"/>
    <w:rsid w:val="4AAF3872"/>
    <w:rsid w:val="4AB4263E"/>
    <w:rsid w:val="4AC04ECA"/>
    <w:rsid w:val="4ADB406F"/>
    <w:rsid w:val="4AE271AB"/>
    <w:rsid w:val="4AE9678B"/>
    <w:rsid w:val="4AEC2416"/>
    <w:rsid w:val="4AED7613"/>
    <w:rsid w:val="4AF27BC2"/>
    <w:rsid w:val="4B2477C4"/>
    <w:rsid w:val="4B2F1BBD"/>
    <w:rsid w:val="4B324C92"/>
    <w:rsid w:val="4B6202EC"/>
    <w:rsid w:val="4B626DA5"/>
    <w:rsid w:val="4B663938"/>
    <w:rsid w:val="4BA1487D"/>
    <w:rsid w:val="4BB65E27"/>
    <w:rsid w:val="4BBE19C6"/>
    <w:rsid w:val="4BC66ACD"/>
    <w:rsid w:val="4BD016F9"/>
    <w:rsid w:val="4BD56D10"/>
    <w:rsid w:val="4BEE392E"/>
    <w:rsid w:val="4C0B44E0"/>
    <w:rsid w:val="4C0C0983"/>
    <w:rsid w:val="4C1635B0"/>
    <w:rsid w:val="4C174157"/>
    <w:rsid w:val="4C2C4B82"/>
    <w:rsid w:val="4C3752D5"/>
    <w:rsid w:val="4C4D2D4A"/>
    <w:rsid w:val="4C5C5B82"/>
    <w:rsid w:val="4CAF59E5"/>
    <w:rsid w:val="4CB42DC9"/>
    <w:rsid w:val="4CEE1E37"/>
    <w:rsid w:val="4D022B85"/>
    <w:rsid w:val="4D0553D3"/>
    <w:rsid w:val="4D13189E"/>
    <w:rsid w:val="4D17495C"/>
    <w:rsid w:val="4D20220D"/>
    <w:rsid w:val="4D202CB5"/>
    <w:rsid w:val="4D2B4E39"/>
    <w:rsid w:val="4D4C3002"/>
    <w:rsid w:val="4D6C0FAE"/>
    <w:rsid w:val="4D833ACA"/>
    <w:rsid w:val="4D8409ED"/>
    <w:rsid w:val="4DA444B2"/>
    <w:rsid w:val="4DC40DEA"/>
    <w:rsid w:val="4DD00D6C"/>
    <w:rsid w:val="4DDC37E1"/>
    <w:rsid w:val="4DED6593"/>
    <w:rsid w:val="4DF32DCA"/>
    <w:rsid w:val="4E032101"/>
    <w:rsid w:val="4E0D2791"/>
    <w:rsid w:val="4E291031"/>
    <w:rsid w:val="4E515507"/>
    <w:rsid w:val="4E616639"/>
    <w:rsid w:val="4E73242D"/>
    <w:rsid w:val="4E8C5DAC"/>
    <w:rsid w:val="4E9E163B"/>
    <w:rsid w:val="4EA55328"/>
    <w:rsid w:val="4EC372F3"/>
    <w:rsid w:val="4EE51018"/>
    <w:rsid w:val="4F0C7014"/>
    <w:rsid w:val="4F0F2539"/>
    <w:rsid w:val="4F10078B"/>
    <w:rsid w:val="4F161B19"/>
    <w:rsid w:val="4F165675"/>
    <w:rsid w:val="4F1F09CE"/>
    <w:rsid w:val="4F245FE4"/>
    <w:rsid w:val="4F4C1097"/>
    <w:rsid w:val="4F6A082E"/>
    <w:rsid w:val="4F6B3C13"/>
    <w:rsid w:val="4F6E54B1"/>
    <w:rsid w:val="4F7B6BF7"/>
    <w:rsid w:val="4F9547EC"/>
    <w:rsid w:val="4FD25A40"/>
    <w:rsid w:val="4FD5108C"/>
    <w:rsid w:val="50151DD1"/>
    <w:rsid w:val="501C315F"/>
    <w:rsid w:val="50383B6F"/>
    <w:rsid w:val="50430399"/>
    <w:rsid w:val="5073130B"/>
    <w:rsid w:val="50792360"/>
    <w:rsid w:val="5086606B"/>
    <w:rsid w:val="50AD025B"/>
    <w:rsid w:val="50B96C00"/>
    <w:rsid w:val="50DE21C3"/>
    <w:rsid w:val="50EA6DB9"/>
    <w:rsid w:val="50FE5C9F"/>
    <w:rsid w:val="512027DB"/>
    <w:rsid w:val="512A18AC"/>
    <w:rsid w:val="51330760"/>
    <w:rsid w:val="51385D77"/>
    <w:rsid w:val="51452242"/>
    <w:rsid w:val="514A7FE0"/>
    <w:rsid w:val="51621E44"/>
    <w:rsid w:val="51694182"/>
    <w:rsid w:val="51725919"/>
    <w:rsid w:val="518E5997"/>
    <w:rsid w:val="519B6306"/>
    <w:rsid w:val="519D123D"/>
    <w:rsid w:val="51A0391C"/>
    <w:rsid w:val="51A60F32"/>
    <w:rsid w:val="51CB0999"/>
    <w:rsid w:val="51CC056C"/>
    <w:rsid w:val="51D05FAF"/>
    <w:rsid w:val="51DF4444"/>
    <w:rsid w:val="51E27A91"/>
    <w:rsid w:val="51F779E0"/>
    <w:rsid w:val="51FC4FF6"/>
    <w:rsid w:val="520B3BCD"/>
    <w:rsid w:val="521C7446"/>
    <w:rsid w:val="52285EC7"/>
    <w:rsid w:val="524E5126"/>
    <w:rsid w:val="52517A25"/>
    <w:rsid w:val="52536E35"/>
    <w:rsid w:val="526B3F2A"/>
    <w:rsid w:val="527E5A0B"/>
    <w:rsid w:val="529E5560"/>
    <w:rsid w:val="52AB07CA"/>
    <w:rsid w:val="52C61160"/>
    <w:rsid w:val="52CF14A7"/>
    <w:rsid w:val="52D72DBD"/>
    <w:rsid w:val="52ED493F"/>
    <w:rsid w:val="52FE4D9E"/>
    <w:rsid w:val="53082D0F"/>
    <w:rsid w:val="530B67CD"/>
    <w:rsid w:val="531620E8"/>
    <w:rsid w:val="53210186"/>
    <w:rsid w:val="53676EF7"/>
    <w:rsid w:val="53734198"/>
    <w:rsid w:val="53837051"/>
    <w:rsid w:val="538F3C48"/>
    <w:rsid w:val="53982AFD"/>
    <w:rsid w:val="539F3E8B"/>
    <w:rsid w:val="53A34E57"/>
    <w:rsid w:val="53A5346C"/>
    <w:rsid w:val="53BF0089"/>
    <w:rsid w:val="53C71634"/>
    <w:rsid w:val="53D578AD"/>
    <w:rsid w:val="53F341D7"/>
    <w:rsid w:val="53F37B70"/>
    <w:rsid w:val="53F61200"/>
    <w:rsid w:val="540B7773"/>
    <w:rsid w:val="540D26EC"/>
    <w:rsid w:val="54115279"/>
    <w:rsid w:val="5416249B"/>
    <w:rsid w:val="542B3971"/>
    <w:rsid w:val="543F741C"/>
    <w:rsid w:val="54492049"/>
    <w:rsid w:val="544D38E7"/>
    <w:rsid w:val="545643D2"/>
    <w:rsid w:val="545D78A2"/>
    <w:rsid w:val="54680721"/>
    <w:rsid w:val="547F1EB2"/>
    <w:rsid w:val="54890353"/>
    <w:rsid w:val="548B2661"/>
    <w:rsid w:val="548F2152"/>
    <w:rsid w:val="54994E52"/>
    <w:rsid w:val="54C55B73"/>
    <w:rsid w:val="54C811C0"/>
    <w:rsid w:val="54C85A83"/>
    <w:rsid w:val="54CB6F02"/>
    <w:rsid w:val="54E20890"/>
    <w:rsid w:val="550146D2"/>
    <w:rsid w:val="55222FC6"/>
    <w:rsid w:val="554A7E27"/>
    <w:rsid w:val="555B2034"/>
    <w:rsid w:val="556A2277"/>
    <w:rsid w:val="558029E9"/>
    <w:rsid w:val="559853C7"/>
    <w:rsid w:val="55AE6607"/>
    <w:rsid w:val="55BB2AD2"/>
    <w:rsid w:val="55C478EE"/>
    <w:rsid w:val="55D63DB0"/>
    <w:rsid w:val="55DE1196"/>
    <w:rsid w:val="55DF08DB"/>
    <w:rsid w:val="55F52488"/>
    <w:rsid w:val="5612303A"/>
    <w:rsid w:val="56372AA1"/>
    <w:rsid w:val="565E4C06"/>
    <w:rsid w:val="568807BC"/>
    <w:rsid w:val="568D0913"/>
    <w:rsid w:val="56917ED8"/>
    <w:rsid w:val="56A1616C"/>
    <w:rsid w:val="56A17F1A"/>
    <w:rsid w:val="56A63783"/>
    <w:rsid w:val="56A640B1"/>
    <w:rsid w:val="56B934B6"/>
    <w:rsid w:val="56C65BD3"/>
    <w:rsid w:val="56D7393C"/>
    <w:rsid w:val="56F269C8"/>
    <w:rsid w:val="56F702E4"/>
    <w:rsid w:val="57007337"/>
    <w:rsid w:val="570109B9"/>
    <w:rsid w:val="57077E32"/>
    <w:rsid w:val="573119B3"/>
    <w:rsid w:val="5737087F"/>
    <w:rsid w:val="57376AD1"/>
    <w:rsid w:val="57393E1A"/>
    <w:rsid w:val="574D3BFE"/>
    <w:rsid w:val="574F5BC8"/>
    <w:rsid w:val="575651A9"/>
    <w:rsid w:val="575656F2"/>
    <w:rsid w:val="577B69BD"/>
    <w:rsid w:val="578E1814"/>
    <w:rsid w:val="578F06BB"/>
    <w:rsid w:val="579D3FF8"/>
    <w:rsid w:val="57A31A70"/>
    <w:rsid w:val="57A51C8C"/>
    <w:rsid w:val="57AE6457"/>
    <w:rsid w:val="57B616D3"/>
    <w:rsid w:val="57DB745C"/>
    <w:rsid w:val="57F14ED1"/>
    <w:rsid w:val="57F95B34"/>
    <w:rsid w:val="57FE49CA"/>
    <w:rsid w:val="580469B3"/>
    <w:rsid w:val="5806097D"/>
    <w:rsid w:val="58090325"/>
    <w:rsid w:val="5813309A"/>
    <w:rsid w:val="58231477"/>
    <w:rsid w:val="586C2979"/>
    <w:rsid w:val="586C6306"/>
    <w:rsid w:val="58727DC0"/>
    <w:rsid w:val="587850B6"/>
    <w:rsid w:val="588F5EF0"/>
    <w:rsid w:val="58B303D9"/>
    <w:rsid w:val="58B77EC9"/>
    <w:rsid w:val="58BF28DA"/>
    <w:rsid w:val="58CF3AD3"/>
    <w:rsid w:val="58D1366E"/>
    <w:rsid w:val="58DC16DE"/>
    <w:rsid w:val="5902008A"/>
    <w:rsid w:val="59080B3C"/>
    <w:rsid w:val="590D1897"/>
    <w:rsid w:val="591A3FB4"/>
    <w:rsid w:val="59253085"/>
    <w:rsid w:val="59411541"/>
    <w:rsid w:val="5943175D"/>
    <w:rsid w:val="594F3C5E"/>
    <w:rsid w:val="59883613"/>
    <w:rsid w:val="598C3104"/>
    <w:rsid w:val="59AA44C2"/>
    <w:rsid w:val="59B95475"/>
    <w:rsid w:val="59F1740B"/>
    <w:rsid w:val="59F1750B"/>
    <w:rsid w:val="59FB3DE5"/>
    <w:rsid w:val="5A117165"/>
    <w:rsid w:val="5A3D46AB"/>
    <w:rsid w:val="5A434E95"/>
    <w:rsid w:val="5A5A6394"/>
    <w:rsid w:val="5A731BCE"/>
    <w:rsid w:val="5A741469"/>
    <w:rsid w:val="5AA4447D"/>
    <w:rsid w:val="5AB741B0"/>
    <w:rsid w:val="5AE220AF"/>
    <w:rsid w:val="5AF745AD"/>
    <w:rsid w:val="5AFA22EF"/>
    <w:rsid w:val="5B150ED7"/>
    <w:rsid w:val="5B1E7D8B"/>
    <w:rsid w:val="5B2373AD"/>
    <w:rsid w:val="5B242EC8"/>
    <w:rsid w:val="5B2E588B"/>
    <w:rsid w:val="5B3E21DC"/>
    <w:rsid w:val="5B44356A"/>
    <w:rsid w:val="5B465534"/>
    <w:rsid w:val="5B4F263B"/>
    <w:rsid w:val="5B5F2152"/>
    <w:rsid w:val="5B7C71A8"/>
    <w:rsid w:val="5B7E309B"/>
    <w:rsid w:val="5B85605C"/>
    <w:rsid w:val="5B8904AC"/>
    <w:rsid w:val="5B8D3163"/>
    <w:rsid w:val="5BBD57F6"/>
    <w:rsid w:val="5BC546AB"/>
    <w:rsid w:val="5BC56459"/>
    <w:rsid w:val="5C1E200D"/>
    <w:rsid w:val="5C224542"/>
    <w:rsid w:val="5C274D30"/>
    <w:rsid w:val="5C3830CF"/>
    <w:rsid w:val="5C3B496D"/>
    <w:rsid w:val="5C6C79A4"/>
    <w:rsid w:val="5C740A88"/>
    <w:rsid w:val="5C8207EE"/>
    <w:rsid w:val="5CA16EC6"/>
    <w:rsid w:val="5CA249EC"/>
    <w:rsid w:val="5CA32C79"/>
    <w:rsid w:val="5CB12E81"/>
    <w:rsid w:val="5CB63FF4"/>
    <w:rsid w:val="5CBA3AE4"/>
    <w:rsid w:val="5CCA06F9"/>
    <w:rsid w:val="5CD47EFB"/>
    <w:rsid w:val="5CDA5F34"/>
    <w:rsid w:val="5CDD77D2"/>
    <w:rsid w:val="5CE96177"/>
    <w:rsid w:val="5CFA65D6"/>
    <w:rsid w:val="5CFD1C22"/>
    <w:rsid w:val="5CFF599B"/>
    <w:rsid w:val="5D1963D4"/>
    <w:rsid w:val="5D417D61"/>
    <w:rsid w:val="5D465377"/>
    <w:rsid w:val="5D487342"/>
    <w:rsid w:val="5D4930BA"/>
    <w:rsid w:val="5D560C38"/>
    <w:rsid w:val="5D616655"/>
    <w:rsid w:val="5D6972B8"/>
    <w:rsid w:val="5D706898"/>
    <w:rsid w:val="5D752454"/>
    <w:rsid w:val="5D784DFB"/>
    <w:rsid w:val="5D7A60A4"/>
    <w:rsid w:val="5D7C593D"/>
    <w:rsid w:val="5D7F6ADB"/>
    <w:rsid w:val="5D8365CC"/>
    <w:rsid w:val="5D8F4F70"/>
    <w:rsid w:val="5DA30A1C"/>
    <w:rsid w:val="5DCE1F4B"/>
    <w:rsid w:val="5DD961EC"/>
    <w:rsid w:val="5DE67B27"/>
    <w:rsid w:val="5DEA0290"/>
    <w:rsid w:val="5DEF3C61"/>
    <w:rsid w:val="5DF272AD"/>
    <w:rsid w:val="5E2751A9"/>
    <w:rsid w:val="5E510478"/>
    <w:rsid w:val="5E580DF8"/>
    <w:rsid w:val="5E7B3747"/>
    <w:rsid w:val="5E8343A9"/>
    <w:rsid w:val="5E8C14B0"/>
    <w:rsid w:val="5E9842F9"/>
    <w:rsid w:val="5E9B5ED6"/>
    <w:rsid w:val="5EA031AD"/>
    <w:rsid w:val="5EA66A16"/>
    <w:rsid w:val="5EB153BA"/>
    <w:rsid w:val="5EB17168"/>
    <w:rsid w:val="5EBD5B0D"/>
    <w:rsid w:val="5EC944B2"/>
    <w:rsid w:val="5ED35331"/>
    <w:rsid w:val="5ED52E57"/>
    <w:rsid w:val="5EFF7ED4"/>
    <w:rsid w:val="5F131BD1"/>
    <w:rsid w:val="5F147BF2"/>
    <w:rsid w:val="5F2B22A1"/>
    <w:rsid w:val="5F337B7D"/>
    <w:rsid w:val="5F610B8F"/>
    <w:rsid w:val="5F724B4A"/>
    <w:rsid w:val="5F775CBC"/>
    <w:rsid w:val="5F7A39FE"/>
    <w:rsid w:val="5F7F2DC3"/>
    <w:rsid w:val="5F9E76ED"/>
    <w:rsid w:val="5FC627A0"/>
    <w:rsid w:val="5FE13A7D"/>
    <w:rsid w:val="5FF53085"/>
    <w:rsid w:val="5FF84F59"/>
    <w:rsid w:val="600A6B30"/>
    <w:rsid w:val="600C0AFA"/>
    <w:rsid w:val="601401C0"/>
    <w:rsid w:val="6015301E"/>
    <w:rsid w:val="601B6F8F"/>
    <w:rsid w:val="60232B9C"/>
    <w:rsid w:val="602D281F"/>
    <w:rsid w:val="60363DC9"/>
    <w:rsid w:val="60455DBA"/>
    <w:rsid w:val="604F4E8B"/>
    <w:rsid w:val="60600E46"/>
    <w:rsid w:val="606A3A73"/>
    <w:rsid w:val="609907A5"/>
    <w:rsid w:val="60BE791B"/>
    <w:rsid w:val="60C05441"/>
    <w:rsid w:val="60C92AD5"/>
    <w:rsid w:val="60E33F2D"/>
    <w:rsid w:val="60F32896"/>
    <w:rsid w:val="61007F33"/>
    <w:rsid w:val="610747AC"/>
    <w:rsid w:val="6109328C"/>
    <w:rsid w:val="61151309"/>
    <w:rsid w:val="61242DFC"/>
    <w:rsid w:val="612927A9"/>
    <w:rsid w:val="612A5366"/>
    <w:rsid w:val="612B54E0"/>
    <w:rsid w:val="613025C6"/>
    <w:rsid w:val="61412A26"/>
    <w:rsid w:val="615F4C5A"/>
    <w:rsid w:val="61642270"/>
    <w:rsid w:val="61783F6D"/>
    <w:rsid w:val="61882403"/>
    <w:rsid w:val="618E3289"/>
    <w:rsid w:val="619F774C"/>
    <w:rsid w:val="61AC1296"/>
    <w:rsid w:val="61B30142"/>
    <w:rsid w:val="61C62F2B"/>
    <w:rsid w:val="61D03DA9"/>
    <w:rsid w:val="61D45648"/>
    <w:rsid w:val="61ED6709"/>
    <w:rsid w:val="620677CB"/>
    <w:rsid w:val="620B4DE2"/>
    <w:rsid w:val="623E6F65"/>
    <w:rsid w:val="625C73EB"/>
    <w:rsid w:val="627A4DC5"/>
    <w:rsid w:val="628D7DF6"/>
    <w:rsid w:val="62944DD7"/>
    <w:rsid w:val="62A27BCD"/>
    <w:rsid w:val="62B17737"/>
    <w:rsid w:val="62CC631F"/>
    <w:rsid w:val="62D41677"/>
    <w:rsid w:val="62DB47B4"/>
    <w:rsid w:val="62EF64B1"/>
    <w:rsid w:val="6307585B"/>
    <w:rsid w:val="632D2939"/>
    <w:rsid w:val="63422A85"/>
    <w:rsid w:val="634305B3"/>
    <w:rsid w:val="634A36E8"/>
    <w:rsid w:val="636C7C2C"/>
    <w:rsid w:val="637013A0"/>
    <w:rsid w:val="63716EC6"/>
    <w:rsid w:val="63821699"/>
    <w:rsid w:val="639A01CB"/>
    <w:rsid w:val="63B75221"/>
    <w:rsid w:val="63C27722"/>
    <w:rsid w:val="63CD4927"/>
    <w:rsid w:val="63CE723E"/>
    <w:rsid w:val="63F0603D"/>
    <w:rsid w:val="63F43D7F"/>
    <w:rsid w:val="64300B2F"/>
    <w:rsid w:val="64540377"/>
    <w:rsid w:val="645C1924"/>
    <w:rsid w:val="645E47D5"/>
    <w:rsid w:val="646B7DB9"/>
    <w:rsid w:val="64722EF6"/>
    <w:rsid w:val="648D1ADE"/>
    <w:rsid w:val="649C61C5"/>
    <w:rsid w:val="64BA5191"/>
    <w:rsid w:val="64C321BE"/>
    <w:rsid w:val="64D140C0"/>
    <w:rsid w:val="64EF4547"/>
    <w:rsid w:val="65275EC1"/>
    <w:rsid w:val="652C12F7"/>
    <w:rsid w:val="652E09FB"/>
    <w:rsid w:val="65554CF2"/>
    <w:rsid w:val="65586590"/>
    <w:rsid w:val="65791412"/>
    <w:rsid w:val="65953340"/>
    <w:rsid w:val="65D379C4"/>
    <w:rsid w:val="65DE6562"/>
    <w:rsid w:val="65ED4FD2"/>
    <w:rsid w:val="65EE47FE"/>
    <w:rsid w:val="65F00576"/>
    <w:rsid w:val="65FC09CB"/>
    <w:rsid w:val="66300364"/>
    <w:rsid w:val="663511A2"/>
    <w:rsid w:val="6639016F"/>
    <w:rsid w:val="663E7534"/>
    <w:rsid w:val="665E7BD6"/>
    <w:rsid w:val="668C0955"/>
    <w:rsid w:val="668D04BB"/>
    <w:rsid w:val="66990C0E"/>
    <w:rsid w:val="66B372BF"/>
    <w:rsid w:val="66C94B94"/>
    <w:rsid w:val="66DC6D4D"/>
    <w:rsid w:val="67184229"/>
    <w:rsid w:val="672944BC"/>
    <w:rsid w:val="6732696D"/>
    <w:rsid w:val="6740552D"/>
    <w:rsid w:val="674943E2"/>
    <w:rsid w:val="67620061"/>
    <w:rsid w:val="678418BE"/>
    <w:rsid w:val="67874F0A"/>
    <w:rsid w:val="679A4C3E"/>
    <w:rsid w:val="67A91325"/>
    <w:rsid w:val="67BA11F5"/>
    <w:rsid w:val="67BF46A4"/>
    <w:rsid w:val="67C223E6"/>
    <w:rsid w:val="67E934CF"/>
    <w:rsid w:val="67F8566D"/>
    <w:rsid w:val="68000819"/>
    <w:rsid w:val="681744E0"/>
    <w:rsid w:val="682C05A6"/>
    <w:rsid w:val="682D27D7"/>
    <w:rsid w:val="684D3A5E"/>
    <w:rsid w:val="68505941"/>
    <w:rsid w:val="685D3306"/>
    <w:rsid w:val="6864524C"/>
    <w:rsid w:val="688A4CB2"/>
    <w:rsid w:val="68925915"/>
    <w:rsid w:val="68945B31"/>
    <w:rsid w:val="68993147"/>
    <w:rsid w:val="68D53926"/>
    <w:rsid w:val="68F47009"/>
    <w:rsid w:val="68F640F6"/>
    <w:rsid w:val="68F91E38"/>
    <w:rsid w:val="692A4118"/>
    <w:rsid w:val="692D1AE1"/>
    <w:rsid w:val="693E3CEF"/>
    <w:rsid w:val="693E784B"/>
    <w:rsid w:val="69564B94"/>
    <w:rsid w:val="695F613F"/>
    <w:rsid w:val="69794EE1"/>
    <w:rsid w:val="69925D1F"/>
    <w:rsid w:val="69C935B8"/>
    <w:rsid w:val="69DA7573"/>
    <w:rsid w:val="69EE0AE7"/>
    <w:rsid w:val="69FB573C"/>
    <w:rsid w:val="6A0B0588"/>
    <w:rsid w:val="6A0D6157"/>
    <w:rsid w:val="6A1707C7"/>
    <w:rsid w:val="6A2432CC"/>
    <w:rsid w:val="6A2556DE"/>
    <w:rsid w:val="6A266C5C"/>
    <w:rsid w:val="6A4239BF"/>
    <w:rsid w:val="6A425119"/>
    <w:rsid w:val="6A484E25"/>
    <w:rsid w:val="6A543FC5"/>
    <w:rsid w:val="6A655B63"/>
    <w:rsid w:val="6A707ED8"/>
    <w:rsid w:val="6A7C4ACE"/>
    <w:rsid w:val="6AA26887"/>
    <w:rsid w:val="6AAD4C88"/>
    <w:rsid w:val="6AB0468D"/>
    <w:rsid w:val="6ABA0A0E"/>
    <w:rsid w:val="6ABA55F7"/>
    <w:rsid w:val="6AED777A"/>
    <w:rsid w:val="6AF40B09"/>
    <w:rsid w:val="6AFB6CD4"/>
    <w:rsid w:val="6B0A1167"/>
    <w:rsid w:val="6B376C47"/>
    <w:rsid w:val="6B451364"/>
    <w:rsid w:val="6B460AA3"/>
    <w:rsid w:val="6B5670CE"/>
    <w:rsid w:val="6B6A3BD9"/>
    <w:rsid w:val="6B7834E8"/>
    <w:rsid w:val="6B8247D2"/>
    <w:rsid w:val="6BE02E3B"/>
    <w:rsid w:val="6BF07522"/>
    <w:rsid w:val="6BF75D9A"/>
    <w:rsid w:val="6C066D46"/>
    <w:rsid w:val="6C07486C"/>
    <w:rsid w:val="6C0B610A"/>
    <w:rsid w:val="6C1A459F"/>
    <w:rsid w:val="6C305B70"/>
    <w:rsid w:val="6C5F1FB2"/>
    <w:rsid w:val="6C6B3075"/>
    <w:rsid w:val="6C727F37"/>
    <w:rsid w:val="6C97443C"/>
    <w:rsid w:val="6CAB3C12"/>
    <w:rsid w:val="6CAB51F7"/>
    <w:rsid w:val="6CAD71C1"/>
    <w:rsid w:val="6CB67C40"/>
    <w:rsid w:val="6CC938CF"/>
    <w:rsid w:val="6CCB3AEB"/>
    <w:rsid w:val="6CED5810"/>
    <w:rsid w:val="6CF01B78"/>
    <w:rsid w:val="6CF070AE"/>
    <w:rsid w:val="6D0B087D"/>
    <w:rsid w:val="6D1159A2"/>
    <w:rsid w:val="6D146F8A"/>
    <w:rsid w:val="6D194857"/>
    <w:rsid w:val="6D1F7993"/>
    <w:rsid w:val="6D54763D"/>
    <w:rsid w:val="6D5A5FDC"/>
    <w:rsid w:val="6D6F4477"/>
    <w:rsid w:val="6D830521"/>
    <w:rsid w:val="6D8B68D2"/>
    <w:rsid w:val="6D8D2B4F"/>
    <w:rsid w:val="6DAA3701"/>
    <w:rsid w:val="6DAB73C2"/>
    <w:rsid w:val="6DAF6F69"/>
    <w:rsid w:val="6DC42A14"/>
    <w:rsid w:val="6DDB7D5E"/>
    <w:rsid w:val="6DE44C11"/>
    <w:rsid w:val="6DE9247B"/>
    <w:rsid w:val="6DF826BE"/>
    <w:rsid w:val="6E0C43BB"/>
    <w:rsid w:val="6E0E0133"/>
    <w:rsid w:val="6E201C15"/>
    <w:rsid w:val="6E21008D"/>
    <w:rsid w:val="6E295363"/>
    <w:rsid w:val="6E2C05BA"/>
    <w:rsid w:val="6E552E84"/>
    <w:rsid w:val="6E7D0E15"/>
    <w:rsid w:val="6E7F6373"/>
    <w:rsid w:val="6E841A3C"/>
    <w:rsid w:val="6E922B12"/>
    <w:rsid w:val="6EA36ACE"/>
    <w:rsid w:val="6EBD1212"/>
    <w:rsid w:val="6EC9405A"/>
    <w:rsid w:val="6ECF78C3"/>
    <w:rsid w:val="6EDD1702"/>
    <w:rsid w:val="6EED19AC"/>
    <w:rsid w:val="6EF11E50"/>
    <w:rsid w:val="6EF56EA3"/>
    <w:rsid w:val="6F06705D"/>
    <w:rsid w:val="6F094457"/>
    <w:rsid w:val="6F524050"/>
    <w:rsid w:val="6F6124E5"/>
    <w:rsid w:val="6F62178C"/>
    <w:rsid w:val="6F8F47F5"/>
    <w:rsid w:val="6F994DEB"/>
    <w:rsid w:val="6FB10D76"/>
    <w:rsid w:val="6FCF347E"/>
    <w:rsid w:val="6FD74555"/>
    <w:rsid w:val="6FDD2CC3"/>
    <w:rsid w:val="6FE70C3C"/>
    <w:rsid w:val="6FE949B4"/>
    <w:rsid w:val="6FEA248A"/>
    <w:rsid w:val="70090BB2"/>
    <w:rsid w:val="700E441B"/>
    <w:rsid w:val="701D0C1E"/>
    <w:rsid w:val="702C664F"/>
    <w:rsid w:val="70527B53"/>
    <w:rsid w:val="70553DF8"/>
    <w:rsid w:val="70587444"/>
    <w:rsid w:val="705B0CE2"/>
    <w:rsid w:val="706202C3"/>
    <w:rsid w:val="7064228D"/>
    <w:rsid w:val="70690C99"/>
    <w:rsid w:val="70716A44"/>
    <w:rsid w:val="70967F6C"/>
    <w:rsid w:val="709C1A26"/>
    <w:rsid w:val="70BB7371"/>
    <w:rsid w:val="70BD6D7B"/>
    <w:rsid w:val="70CE5958"/>
    <w:rsid w:val="70D34D1C"/>
    <w:rsid w:val="70D66204"/>
    <w:rsid w:val="70E45BD3"/>
    <w:rsid w:val="70E909E4"/>
    <w:rsid w:val="70FC24C5"/>
    <w:rsid w:val="71025602"/>
    <w:rsid w:val="71153587"/>
    <w:rsid w:val="71333A0D"/>
    <w:rsid w:val="713C6D66"/>
    <w:rsid w:val="71494FDF"/>
    <w:rsid w:val="714B51FB"/>
    <w:rsid w:val="71597917"/>
    <w:rsid w:val="716304F0"/>
    <w:rsid w:val="71A8034F"/>
    <w:rsid w:val="71C01745"/>
    <w:rsid w:val="71D60F68"/>
    <w:rsid w:val="71E03EA7"/>
    <w:rsid w:val="72113D4E"/>
    <w:rsid w:val="7249798C"/>
    <w:rsid w:val="72556331"/>
    <w:rsid w:val="72604CD6"/>
    <w:rsid w:val="727644F9"/>
    <w:rsid w:val="7285473C"/>
    <w:rsid w:val="728D7A9D"/>
    <w:rsid w:val="729B5D0E"/>
    <w:rsid w:val="72B1326F"/>
    <w:rsid w:val="72B56DCF"/>
    <w:rsid w:val="72C2329A"/>
    <w:rsid w:val="72C62D8B"/>
    <w:rsid w:val="72DF4AF4"/>
    <w:rsid w:val="72E70F53"/>
    <w:rsid w:val="73320420"/>
    <w:rsid w:val="733C6A4F"/>
    <w:rsid w:val="733F0D8F"/>
    <w:rsid w:val="734405DF"/>
    <w:rsid w:val="734819F2"/>
    <w:rsid w:val="73531CFE"/>
    <w:rsid w:val="735C36EF"/>
    <w:rsid w:val="7375030D"/>
    <w:rsid w:val="737A5FE9"/>
    <w:rsid w:val="73A0182E"/>
    <w:rsid w:val="73A66718"/>
    <w:rsid w:val="73B47087"/>
    <w:rsid w:val="73B577F7"/>
    <w:rsid w:val="73BF0D34"/>
    <w:rsid w:val="73C117A4"/>
    <w:rsid w:val="73CF3EC1"/>
    <w:rsid w:val="73DC038C"/>
    <w:rsid w:val="73F41B79"/>
    <w:rsid w:val="74031DBD"/>
    <w:rsid w:val="740578E3"/>
    <w:rsid w:val="740873D3"/>
    <w:rsid w:val="742A559B"/>
    <w:rsid w:val="743D707D"/>
    <w:rsid w:val="744321B9"/>
    <w:rsid w:val="74454183"/>
    <w:rsid w:val="747D56CB"/>
    <w:rsid w:val="748C7D62"/>
    <w:rsid w:val="74956EB9"/>
    <w:rsid w:val="749B3DA3"/>
    <w:rsid w:val="749B63E6"/>
    <w:rsid w:val="74BD01BD"/>
    <w:rsid w:val="74EE481B"/>
    <w:rsid w:val="74F31E31"/>
    <w:rsid w:val="75023A36"/>
    <w:rsid w:val="7502651C"/>
    <w:rsid w:val="75033B2F"/>
    <w:rsid w:val="750758DC"/>
    <w:rsid w:val="7507768A"/>
    <w:rsid w:val="751122B7"/>
    <w:rsid w:val="75297601"/>
    <w:rsid w:val="752C639D"/>
    <w:rsid w:val="75410DEE"/>
    <w:rsid w:val="75423928"/>
    <w:rsid w:val="755E374E"/>
    <w:rsid w:val="755E43B4"/>
    <w:rsid w:val="75613908"/>
    <w:rsid w:val="756B25FC"/>
    <w:rsid w:val="75764D0F"/>
    <w:rsid w:val="757C554D"/>
    <w:rsid w:val="757D3A8F"/>
    <w:rsid w:val="759251A6"/>
    <w:rsid w:val="759E1D9D"/>
    <w:rsid w:val="75A44ED9"/>
    <w:rsid w:val="75AE3E6D"/>
    <w:rsid w:val="75B37376"/>
    <w:rsid w:val="75BA294F"/>
    <w:rsid w:val="75E33C54"/>
    <w:rsid w:val="75EA4FE2"/>
    <w:rsid w:val="75EB48B6"/>
    <w:rsid w:val="75EC64C5"/>
    <w:rsid w:val="760616F0"/>
    <w:rsid w:val="7611072C"/>
    <w:rsid w:val="761144DD"/>
    <w:rsid w:val="7625426C"/>
    <w:rsid w:val="7626388D"/>
    <w:rsid w:val="764346F2"/>
    <w:rsid w:val="766B0EFF"/>
    <w:rsid w:val="766D176F"/>
    <w:rsid w:val="76722BD1"/>
    <w:rsid w:val="76790114"/>
    <w:rsid w:val="76876CD5"/>
    <w:rsid w:val="769654F8"/>
    <w:rsid w:val="76A31809"/>
    <w:rsid w:val="76B92C06"/>
    <w:rsid w:val="76D77BFB"/>
    <w:rsid w:val="76E23F0B"/>
    <w:rsid w:val="76E91B9E"/>
    <w:rsid w:val="76F25BA4"/>
    <w:rsid w:val="771C3676"/>
    <w:rsid w:val="77210340"/>
    <w:rsid w:val="772B5B47"/>
    <w:rsid w:val="777728A5"/>
    <w:rsid w:val="778925D9"/>
    <w:rsid w:val="779A48AE"/>
    <w:rsid w:val="779C3B74"/>
    <w:rsid w:val="77B91110"/>
    <w:rsid w:val="77CE4490"/>
    <w:rsid w:val="77FA3606"/>
    <w:rsid w:val="78096A8F"/>
    <w:rsid w:val="78150354"/>
    <w:rsid w:val="78160310"/>
    <w:rsid w:val="782D565A"/>
    <w:rsid w:val="784A33ED"/>
    <w:rsid w:val="784C7B1E"/>
    <w:rsid w:val="78526E6F"/>
    <w:rsid w:val="785B3D53"/>
    <w:rsid w:val="786A065C"/>
    <w:rsid w:val="786D5A56"/>
    <w:rsid w:val="78743D20"/>
    <w:rsid w:val="78771D33"/>
    <w:rsid w:val="789E60B6"/>
    <w:rsid w:val="78A51694"/>
    <w:rsid w:val="78A65D5F"/>
    <w:rsid w:val="78B36DF8"/>
    <w:rsid w:val="78C0202A"/>
    <w:rsid w:val="78C53AE4"/>
    <w:rsid w:val="78E0447A"/>
    <w:rsid w:val="78F16688"/>
    <w:rsid w:val="78F420B2"/>
    <w:rsid w:val="78FC16BE"/>
    <w:rsid w:val="7905668C"/>
    <w:rsid w:val="79281469"/>
    <w:rsid w:val="792A380A"/>
    <w:rsid w:val="792D4DB3"/>
    <w:rsid w:val="795E38F8"/>
    <w:rsid w:val="79647C2E"/>
    <w:rsid w:val="797B1172"/>
    <w:rsid w:val="797C23F5"/>
    <w:rsid w:val="798B088A"/>
    <w:rsid w:val="79935991"/>
    <w:rsid w:val="79A30C0C"/>
    <w:rsid w:val="79B43937"/>
    <w:rsid w:val="79D33FDF"/>
    <w:rsid w:val="79E166FC"/>
    <w:rsid w:val="79ED60B9"/>
    <w:rsid w:val="79ED6E4F"/>
    <w:rsid w:val="79F71A7C"/>
    <w:rsid w:val="7A13262E"/>
    <w:rsid w:val="7A431165"/>
    <w:rsid w:val="7A545120"/>
    <w:rsid w:val="7A5866FB"/>
    <w:rsid w:val="7A5F5873"/>
    <w:rsid w:val="7A813442"/>
    <w:rsid w:val="7A831561"/>
    <w:rsid w:val="7A8659E4"/>
    <w:rsid w:val="7A911ED0"/>
    <w:rsid w:val="7A9D6AC7"/>
    <w:rsid w:val="7AA53BCD"/>
    <w:rsid w:val="7AAA4D40"/>
    <w:rsid w:val="7AAF67FA"/>
    <w:rsid w:val="7ABB519F"/>
    <w:rsid w:val="7ABF2E84"/>
    <w:rsid w:val="7AC8166A"/>
    <w:rsid w:val="7AD7365B"/>
    <w:rsid w:val="7AE2272C"/>
    <w:rsid w:val="7B065F77"/>
    <w:rsid w:val="7B1F572E"/>
    <w:rsid w:val="7B2E5971"/>
    <w:rsid w:val="7B3D5BB4"/>
    <w:rsid w:val="7B4056A4"/>
    <w:rsid w:val="7B4C229B"/>
    <w:rsid w:val="7B551150"/>
    <w:rsid w:val="7B5806CE"/>
    <w:rsid w:val="7B6C6499"/>
    <w:rsid w:val="7B711D02"/>
    <w:rsid w:val="7B8437E3"/>
    <w:rsid w:val="7B8F3F36"/>
    <w:rsid w:val="7B9B28DB"/>
    <w:rsid w:val="7B9F23CB"/>
    <w:rsid w:val="7BB10FFC"/>
    <w:rsid w:val="7BB265A2"/>
    <w:rsid w:val="7BD04C7A"/>
    <w:rsid w:val="7BFD5343"/>
    <w:rsid w:val="7C240400"/>
    <w:rsid w:val="7C2D79D7"/>
    <w:rsid w:val="7C43544C"/>
    <w:rsid w:val="7C4D0079"/>
    <w:rsid w:val="7C5A6E9F"/>
    <w:rsid w:val="7C64246B"/>
    <w:rsid w:val="7C773348"/>
    <w:rsid w:val="7C7F1EB1"/>
    <w:rsid w:val="7C8F7CAB"/>
    <w:rsid w:val="7C9034DE"/>
    <w:rsid w:val="7C9E5AD0"/>
    <w:rsid w:val="7CAD6D69"/>
    <w:rsid w:val="7CB9570E"/>
    <w:rsid w:val="7CC540B3"/>
    <w:rsid w:val="7CC83BA3"/>
    <w:rsid w:val="7CEE403F"/>
    <w:rsid w:val="7D0518CE"/>
    <w:rsid w:val="7D1777C4"/>
    <w:rsid w:val="7D180687"/>
    <w:rsid w:val="7D2A03BA"/>
    <w:rsid w:val="7D2A660C"/>
    <w:rsid w:val="7D511DEB"/>
    <w:rsid w:val="7D60202E"/>
    <w:rsid w:val="7D745926"/>
    <w:rsid w:val="7D76487D"/>
    <w:rsid w:val="7D7B0C16"/>
    <w:rsid w:val="7D834B65"/>
    <w:rsid w:val="7D866EB3"/>
    <w:rsid w:val="7D893333"/>
    <w:rsid w:val="7D8B2B0B"/>
    <w:rsid w:val="7D960E64"/>
    <w:rsid w:val="7D9C7D0F"/>
    <w:rsid w:val="7DAF266D"/>
    <w:rsid w:val="7DB740A5"/>
    <w:rsid w:val="7DBB459D"/>
    <w:rsid w:val="7DBC7EA5"/>
    <w:rsid w:val="7DBD4D8A"/>
    <w:rsid w:val="7DF509C8"/>
    <w:rsid w:val="7E0E3838"/>
    <w:rsid w:val="7E235535"/>
    <w:rsid w:val="7E461224"/>
    <w:rsid w:val="7E505424"/>
    <w:rsid w:val="7E543940"/>
    <w:rsid w:val="7E665AA5"/>
    <w:rsid w:val="7E680FA8"/>
    <w:rsid w:val="7E6A46B8"/>
    <w:rsid w:val="7EA146AC"/>
    <w:rsid w:val="7EA877E8"/>
    <w:rsid w:val="7EB2217F"/>
    <w:rsid w:val="7EB97C47"/>
    <w:rsid w:val="7EDA196C"/>
    <w:rsid w:val="7EDE320A"/>
    <w:rsid w:val="7EE822DB"/>
    <w:rsid w:val="7EEC07F1"/>
    <w:rsid w:val="7EF667A6"/>
    <w:rsid w:val="7EF70096"/>
    <w:rsid w:val="7F392B36"/>
    <w:rsid w:val="7F551414"/>
    <w:rsid w:val="7F5E259D"/>
    <w:rsid w:val="7F65089D"/>
    <w:rsid w:val="7F8042C1"/>
    <w:rsid w:val="7F876B7D"/>
    <w:rsid w:val="7F8A6DE0"/>
    <w:rsid w:val="7F980D98"/>
    <w:rsid w:val="7F9C21F5"/>
    <w:rsid w:val="7FA06711"/>
    <w:rsid w:val="7FA501CC"/>
    <w:rsid w:val="7FAC155A"/>
    <w:rsid w:val="7FC71EF0"/>
    <w:rsid w:val="7FCE14D1"/>
    <w:rsid w:val="7FD33895"/>
    <w:rsid w:val="7FD93C9A"/>
    <w:rsid w:val="7FE86FDA"/>
    <w:rsid w:val="7FF52F01"/>
    <w:rsid w:val="7FF56A5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qFormat/>
    <w:uiPriority w:val="0"/>
    <w:pPr>
      <w:keepNext/>
      <w:numPr>
        <w:ilvl w:val="0"/>
        <w:numId w:val="1"/>
      </w:numPr>
      <w:spacing w:line="360" w:lineRule="auto"/>
      <w:ind w:firstLine="200" w:firstLineChars="200"/>
      <w:jc w:val="center"/>
      <w:outlineLvl w:val="0"/>
    </w:pPr>
    <w:rPr>
      <w:rFonts w:ascii="楷体_GB2312" w:eastAsia="楷体_GB2312" w:cs="楷体_GB2312"/>
      <w:sz w:val="28"/>
      <w:szCs w:val="28"/>
    </w:rPr>
  </w:style>
  <w:style w:type="paragraph" w:styleId="4">
    <w:name w:val="heading 2"/>
    <w:basedOn w:val="1"/>
    <w:next w:val="1"/>
    <w:unhideWhenUsed/>
    <w:qFormat/>
    <w:uiPriority w:val="0"/>
    <w:pPr>
      <w:keepNext/>
      <w:keepLines/>
      <w:numPr>
        <w:ilvl w:val="1"/>
        <w:numId w:val="1"/>
      </w:numPr>
      <w:spacing w:before="260" w:after="260" w:line="415" w:lineRule="auto"/>
      <w:ind w:firstLine="200" w:firstLineChars="200"/>
      <w:jc w:val="center"/>
      <w:outlineLvl w:val="1"/>
    </w:pPr>
    <w:rPr>
      <w:rFonts w:ascii="Arial" w:hAnsi="Arial" w:eastAsia="幼圆" w:cs="Arial"/>
      <w:b/>
      <w:bCs/>
      <w:sz w:val="44"/>
      <w:szCs w:val="44"/>
    </w:rPr>
  </w:style>
  <w:style w:type="paragraph" w:styleId="5">
    <w:name w:val="heading 3"/>
    <w:basedOn w:val="1"/>
    <w:next w:val="6"/>
    <w:unhideWhenUsed/>
    <w:qFormat/>
    <w:uiPriority w:val="0"/>
    <w:pPr>
      <w:keepNext/>
      <w:keepLines/>
      <w:numPr>
        <w:ilvl w:val="2"/>
        <w:numId w:val="1"/>
      </w:numPr>
      <w:spacing w:before="260" w:after="260" w:line="415" w:lineRule="auto"/>
      <w:outlineLvl w:val="2"/>
    </w:pPr>
    <w:rPr>
      <w:b/>
      <w:bCs/>
      <w:sz w:val="32"/>
      <w:szCs w:val="32"/>
    </w:rPr>
  </w:style>
  <w:style w:type="paragraph" w:styleId="7">
    <w:name w:val="heading 4"/>
    <w:basedOn w:val="1"/>
    <w:next w:val="1"/>
    <w:qFormat/>
    <w:uiPriority w:val="9"/>
    <w:pPr>
      <w:keepNext/>
      <w:keepLines/>
      <w:spacing w:line="376" w:lineRule="auto"/>
      <w:outlineLvl w:val="3"/>
    </w:pPr>
    <w:rPr>
      <w:rFonts w:ascii="Cambria" w:hAnsi="Cambria" w:cs="Times New Roman"/>
      <w:b/>
      <w:bCs/>
      <w:kern w:val="0"/>
      <w:sz w:val="28"/>
      <w:szCs w:val="28"/>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1"/>
    <w:pPr>
      <w:autoSpaceDE w:val="0"/>
      <w:autoSpaceDN w:val="0"/>
      <w:jc w:val="left"/>
    </w:pPr>
    <w:rPr>
      <w:rFonts w:ascii="宋体" w:hAnsi="宋体" w:cs="宋体"/>
      <w:kern w:val="0"/>
      <w:lang w:val="zh-CN" w:bidi="zh-CN"/>
    </w:rPr>
  </w:style>
  <w:style w:type="paragraph" w:styleId="6">
    <w:name w:val="Normal Indent"/>
    <w:basedOn w:val="1"/>
    <w:qFormat/>
    <w:uiPriority w:val="0"/>
    <w:pPr>
      <w:ind w:firstLine="420"/>
    </w:pPr>
    <w:rPr>
      <w:szCs w:val="20"/>
    </w:rPr>
  </w:style>
  <w:style w:type="paragraph" w:styleId="8">
    <w:name w:val="toc 7"/>
    <w:basedOn w:val="1"/>
    <w:next w:val="1"/>
    <w:qFormat/>
    <w:uiPriority w:val="0"/>
    <w:pPr>
      <w:ind w:left="1260"/>
      <w:jc w:val="left"/>
    </w:pPr>
    <w:rPr>
      <w:rFonts w:asciiTheme="minorHAnsi" w:hAnsiTheme="minorHAnsi" w:cstheme="minorHAnsi"/>
      <w:sz w:val="18"/>
      <w:szCs w:val="18"/>
    </w:rPr>
  </w:style>
  <w:style w:type="paragraph" w:styleId="9">
    <w:name w:val="annotation text"/>
    <w:basedOn w:val="1"/>
    <w:link w:val="64"/>
    <w:unhideWhenUsed/>
    <w:qFormat/>
    <w:uiPriority w:val="0"/>
    <w:pPr>
      <w:jc w:val="left"/>
    </w:pPr>
  </w:style>
  <w:style w:type="paragraph" w:styleId="10">
    <w:name w:val="Body Text Indent"/>
    <w:basedOn w:val="1"/>
    <w:qFormat/>
    <w:uiPriority w:val="99"/>
    <w:pPr>
      <w:snapToGrid w:val="0"/>
      <w:spacing w:line="440" w:lineRule="exact"/>
      <w:ind w:firstLine="403" w:firstLineChars="192"/>
    </w:pPr>
    <w:rPr>
      <w:rFonts w:ascii="宋体" w:hAnsi="宋体" w:cs="宋体"/>
    </w:rPr>
  </w:style>
  <w:style w:type="paragraph" w:styleId="11">
    <w:name w:val="Block Text"/>
    <w:basedOn w:val="1"/>
    <w:unhideWhenUsed/>
    <w:qFormat/>
    <w:uiPriority w:val="99"/>
    <w:pPr>
      <w:spacing w:after="120"/>
      <w:ind w:left="1440" w:leftChars="700" w:right="1440" w:rightChars="700"/>
    </w:pPr>
  </w:style>
  <w:style w:type="paragraph" w:styleId="12">
    <w:name w:val="index 4"/>
    <w:basedOn w:val="1"/>
    <w:next w:val="1"/>
    <w:unhideWhenUsed/>
    <w:qFormat/>
    <w:uiPriority w:val="99"/>
    <w:pPr>
      <w:ind w:left="600" w:leftChars="600"/>
    </w:pPr>
    <w:rPr>
      <w:rFonts w:ascii="Verdana" w:hAnsi="Verdana"/>
      <w:szCs w:val="20"/>
    </w:rPr>
  </w:style>
  <w:style w:type="paragraph" w:styleId="13">
    <w:name w:val="toc 5"/>
    <w:basedOn w:val="1"/>
    <w:next w:val="1"/>
    <w:qFormat/>
    <w:uiPriority w:val="0"/>
    <w:pPr>
      <w:ind w:left="840"/>
      <w:jc w:val="left"/>
    </w:pPr>
    <w:rPr>
      <w:rFonts w:asciiTheme="minorHAnsi" w:hAnsiTheme="minorHAnsi" w:cstheme="minorHAnsi"/>
      <w:sz w:val="18"/>
      <w:szCs w:val="18"/>
    </w:rPr>
  </w:style>
  <w:style w:type="paragraph" w:styleId="14">
    <w:name w:val="toc 3"/>
    <w:basedOn w:val="1"/>
    <w:next w:val="1"/>
    <w:qFormat/>
    <w:uiPriority w:val="0"/>
    <w:pPr>
      <w:ind w:left="420"/>
      <w:jc w:val="left"/>
    </w:pPr>
    <w:rPr>
      <w:rFonts w:asciiTheme="minorHAnsi" w:hAnsiTheme="minorHAnsi" w:cstheme="minorHAnsi"/>
      <w:i/>
      <w:iCs/>
      <w:sz w:val="20"/>
      <w:szCs w:val="20"/>
    </w:rPr>
  </w:style>
  <w:style w:type="paragraph" w:styleId="15">
    <w:name w:val="Plain Text"/>
    <w:basedOn w:val="1"/>
    <w:qFormat/>
    <w:uiPriority w:val="0"/>
    <w:rPr>
      <w:rFonts w:hint="eastAsia" w:ascii="宋体" w:hAnsi="Courier New"/>
      <w:szCs w:val="20"/>
    </w:rPr>
  </w:style>
  <w:style w:type="paragraph" w:styleId="16">
    <w:name w:val="toc 8"/>
    <w:basedOn w:val="1"/>
    <w:next w:val="1"/>
    <w:qFormat/>
    <w:uiPriority w:val="0"/>
    <w:pPr>
      <w:ind w:left="1470"/>
      <w:jc w:val="left"/>
    </w:pPr>
    <w:rPr>
      <w:rFonts w:asciiTheme="minorHAnsi" w:hAnsiTheme="minorHAnsi" w:cstheme="minorHAnsi"/>
      <w:sz w:val="18"/>
      <w:szCs w:val="18"/>
    </w:rPr>
  </w:style>
  <w:style w:type="paragraph" w:styleId="17">
    <w:name w:val="Date"/>
    <w:basedOn w:val="1"/>
    <w:next w:val="1"/>
    <w:qFormat/>
    <w:uiPriority w:val="0"/>
    <w:rPr>
      <w:rFonts w:ascii="Times New Roman" w:hAnsi="Times New Roman" w:cs="Times New Roman"/>
      <w:sz w:val="24"/>
      <w:szCs w:val="20"/>
    </w:rPr>
  </w:style>
  <w:style w:type="paragraph" w:styleId="18">
    <w:name w:val="Balloon Text"/>
    <w:basedOn w:val="1"/>
    <w:link w:val="53"/>
    <w:qFormat/>
    <w:uiPriority w:val="0"/>
    <w:rPr>
      <w:sz w:val="18"/>
      <w:szCs w:val="18"/>
    </w:rPr>
  </w:style>
  <w:style w:type="paragraph" w:styleId="19">
    <w:name w:val="footer"/>
    <w:basedOn w:val="1"/>
    <w:qFormat/>
    <w:uiPriority w:val="0"/>
    <w:pPr>
      <w:tabs>
        <w:tab w:val="center" w:pos="4153"/>
        <w:tab w:val="right" w:pos="8306"/>
      </w:tabs>
      <w:snapToGrid w:val="0"/>
      <w:spacing w:line="360" w:lineRule="auto"/>
      <w:ind w:firstLine="200" w:firstLineChars="200"/>
      <w:jc w:val="left"/>
    </w:pPr>
    <w:rPr>
      <w:rFonts w:ascii="Times New Roman" w:hAnsi="Times New Roman" w:cs="Times New Roman"/>
      <w:sz w:val="18"/>
      <w:szCs w:val="18"/>
    </w:rPr>
  </w:style>
  <w:style w:type="paragraph" w:styleId="20">
    <w:name w:val="envelope return"/>
    <w:basedOn w:val="1"/>
    <w:qFormat/>
    <w:uiPriority w:val="0"/>
    <w:pPr>
      <w:snapToGrid w:val="0"/>
    </w:pPr>
    <w:rPr>
      <w:rFonts w:ascii="Arial" w:hAnsi="Arial"/>
    </w:rPr>
  </w:style>
  <w:style w:type="paragraph" w:styleId="21">
    <w:name w:val="header"/>
    <w:basedOn w:val="1"/>
    <w:qFormat/>
    <w:uiPriority w:val="0"/>
    <w:pPr>
      <w:pBdr>
        <w:bottom w:val="single" w:color="auto" w:sz="6" w:space="1"/>
      </w:pBdr>
      <w:tabs>
        <w:tab w:val="center" w:pos="4153"/>
        <w:tab w:val="right" w:pos="8306"/>
      </w:tabs>
      <w:snapToGrid w:val="0"/>
      <w:spacing w:line="360" w:lineRule="auto"/>
      <w:ind w:firstLine="200" w:firstLineChars="200"/>
      <w:jc w:val="center"/>
    </w:pPr>
    <w:rPr>
      <w:rFonts w:ascii="Times New Roman" w:hAnsi="Times New Roman" w:cs="Times New Roman"/>
      <w:sz w:val="18"/>
      <w:szCs w:val="18"/>
    </w:rPr>
  </w:style>
  <w:style w:type="paragraph" w:styleId="22">
    <w:name w:val="toc 1"/>
    <w:basedOn w:val="1"/>
    <w:next w:val="1"/>
    <w:qFormat/>
    <w:uiPriority w:val="39"/>
    <w:pPr>
      <w:spacing w:before="120" w:after="120"/>
      <w:jc w:val="left"/>
    </w:pPr>
    <w:rPr>
      <w:rFonts w:asciiTheme="minorHAnsi" w:hAnsiTheme="minorHAnsi" w:cstheme="minorHAnsi"/>
      <w:b/>
      <w:bCs/>
      <w:caps/>
      <w:sz w:val="20"/>
      <w:szCs w:val="20"/>
    </w:rPr>
  </w:style>
  <w:style w:type="paragraph" w:styleId="23">
    <w:name w:val="toc 4"/>
    <w:basedOn w:val="1"/>
    <w:next w:val="1"/>
    <w:qFormat/>
    <w:uiPriority w:val="0"/>
    <w:pPr>
      <w:ind w:left="630"/>
      <w:jc w:val="left"/>
    </w:pPr>
    <w:rPr>
      <w:rFonts w:asciiTheme="minorHAnsi" w:hAnsiTheme="minorHAnsi" w:cstheme="minorHAnsi"/>
      <w:sz w:val="18"/>
      <w:szCs w:val="18"/>
    </w:rPr>
  </w:style>
  <w:style w:type="paragraph" w:styleId="24">
    <w:name w:val="Subtitle"/>
    <w:basedOn w:val="1"/>
    <w:next w:val="1"/>
    <w:link w:val="43"/>
    <w:qFormat/>
    <w:uiPriority w:val="0"/>
    <w:pPr>
      <w:spacing w:before="240" w:after="60" w:line="312" w:lineRule="auto"/>
      <w:jc w:val="center"/>
      <w:outlineLvl w:val="1"/>
    </w:pPr>
    <w:rPr>
      <w:rFonts w:ascii="Cambria" w:hAnsi="Cambria" w:cs="Times New Roman"/>
      <w:b/>
      <w:bCs/>
      <w:kern w:val="28"/>
      <w:sz w:val="32"/>
      <w:szCs w:val="32"/>
    </w:rPr>
  </w:style>
  <w:style w:type="paragraph" w:styleId="25">
    <w:name w:val="toc 6"/>
    <w:basedOn w:val="1"/>
    <w:next w:val="1"/>
    <w:qFormat/>
    <w:uiPriority w:val="0"/>
    <w:pPr>
      <w:ind w:left="1050"/>
      <w:jc w:val="left"/>
    </w:pPr>
    <w:rPr>
      <w:rFonts w:asciiTheme="minorHAnsi" w:hAnsiTheme="minorHAnsi" w:cstheme="minorHAnsi"/>
      <w:sz w:val="18"/>
      <w:szCs w:val="18"/>
    </w:rPr>
  </w:style>
  <w:style w:type="paragraph" w:styleId="26">
    <w:name w:val="toc 2"/>
    <w:basedOn w:val="1"/>
    <w:next w:val="1"/>
    <w:qFormat/>
    <w:uiPriority w:val="39"/>
    <w:pPr>
      <w:ind w:left="210"/>
      <w:jc w:val="left"/>
    </w:pPr>
    <w:rPr>
      <w:rFonts w:asciiTheme="minorHAnsi" w:hAnsiTheme="minorHAnsi" w:cstheme="minorHAnsi"/>
      <w:smallCaps/>
      <w:sz w:val="20"/>
      <w:szCs w:val="20"/>
    </w:rPr>
  </w:style>
  <w:style w:type="paragraph" w:styleId="27">
    <w:name w:val="toc 9"/>
    <w:basedOn w:val="1"/>
    <w:next w:val="1"/>
    <w:qFormat/>
    <w:uiPriority w:val="0"/>
    <w:pPr>
      <w:ind w:left="1680"/>
      <w:jc w:val="left"/>
    </w:pPr>
    <w:rPr>
      <w:rFonts w:asciiTheme="minorHAnsi" w:hAnsiTheme="minorHAnsi" w:cstheme="minorHAnsi"/>
      <w:sz w:val="18"/>
      <w:szCs w:val="18"/>
    </w:rPr>
  </w:style>
  <w:style w:type="paragraph" w:styleId="28">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9">
    <w:name w:val="annotation subject"/>
    <w:basedOn w:val="9"/>
    <w:next w:val="9"/>
    <w:link w:val="65"/>
    <w:qFormat/>
    <w:uiPriority w:val="0"/>
    <w:rPr>
      <w:b/>
      <w:bCs/>
    </w:rPr>
  </w:style>
  <w:style w:type="paragraph" w:styleId="30">
    <w:name w:val="Body Text First Indent 2"/>
    <w:basedOn w:val="1"/>
    <w:next w:val="1"/>
    <w:qFormat/>
    <w:uiPriority w:val="99"/>
    <w:pPr>
      <w:ind w:firstLine="420" w:firstLineChars="200"/>
    </w:pPr>
  </w:style>
  <w:style w:type="table" w:styleId="32">
    <w:name w:val="Table Grid"/>
    <w:basedOn w:val="3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basedOn w:val="33"/>
    <w:qFormat/>
    <w:uiPriority w:val="0"/>
    <w:rPr>
      <w:b/>
      <w:bCs/>
    </w:rPr>
  </w:style>
  <w:style w:type="character" w:styleId="35">
    <w:name w:val="Emphasis"/>
    <w:basedOn w:val="33"/>
    <w:qFormat/>
    <w:uiPriority w:val="0"/>
    <w:rPr>
      <w:i/>
    </w:rPr>
  </w:style>
  <w:style w:type="character" w:styleId="36">
    <w:name w:val="Hyperlink"/>
    <w:basedOn w:val="33"/>
    <w:unhideWhenUsed/>
    <w:qFormat/>
    <w:uiPriority w:val="99"/>
    <w:rPr>
      <w:color w:val="0563C1" w:themeColor="hyperlink"/>
      <w:u w:val="single"/>
      <w14:textFill>
        <w14:solidFill>
          <w14:schemeClr w14:val="hlink"/>
        </w14:solidFill>
      </w14:textFill>
    </w:rPr>
  </w:style>
  <w:style w:type="character" w:styleId="37">
    <w:name w:val="annotation reference"/>
    <w:basedOn w:val="33"/>
    <w:qFormat/>
    <w:uiPriority w:val="0"/>
    <w:rPr>
      <w:sz w:val="21"/>
      <w:szCs w:val="21"/>
    </w:rPr>
  </w:style>
  <w:style w:type="paragraph" w:customStyle="1" w:styleId="38">
    <w:name w:val="BodyText1I2"/>
    <w:basedOn w:val="39"/>
    <w:semiHidden/>
    <w:qFormat/>
    <w:uiPriority w:val="0"/>
    <w:pPr>
      <w:ind w:firstLine="420" w:firstLineChars="200"/>
    </w:pPr>
  </w:style>
  <w:style w:type="paragraph" w:customStyle="1" w:styleId="39">
    <w:name w:val="BodyTextIndent"/>
    <w:basedOn w:val="1"/>
    <w:semiHidden/>
    <w:qFormat/>
    <w:uiPriority w:val="0"/>
    <w:pPr>
      <w:widowControl/>
      <w:spacing w:after="120"/>
      <w:ind w:left="420" w:leftChars="200"/>
      <w:textAlignment w:val="baseline"/>
    </w:pPr>
  </w:style>
  <w:style w:type="paragraph" w:customStyle="1" w:styleId="40">
    <w:name w:val="首行缩进"/>
    <w:basedOn w:val="1"/>
    <w:qFormat/>
    <w:uiPriority w:val="0"/>
    <w:pPr>
      <w:ind w:firstLine="480" w:firstLineChars="200"/>
    </w:pPr>
    <w:rPr>
      <w:szCs w:val="20"/>
      <w:lang w:val="zh-CN"/>
    </w:rPr>
  </w:style>
  <w:style w:type="paragraph" w:customStyle="1" w:styleId="41">
    <w:name w:val="普通正文"/>
    <w:basedOn w:val="1"/>
    <w:link w:val="54"/>
    <w:qFormat/>
    <w:uiPriority w:val="99"/>
    <w:pPr>
      <w:adjustRightInd w:val="0"/>
      <w:spacing w:before="120" w:after="120" w:line="360" w:lineRule="auto"/>
      <w:ind w:firstLine="480" w:firstLineChars="200"/>
      <w:jc w:val="left"/>
    </w:pPr>
    <w:rPr>
      <w:rFonts w:ascii="Arial" w:hAnsi="Arial" w:cs="Arial"/>
      <w:kern w:val="0"/>
      <w:sz w:val="24"/>
      <w:szCs w:val="24"/>
    </w:rPr>
  </w:style>
  <w:style w:type="paragraph" w:customStyle="1" w:styleId="42">
    <w:name w:val="一级目录"/>
    <w:next w:val="1"/>
    <w:qFormat/>
    <w:uiPriority w:val="99"/>
    <w:pPr>
      <w:spacing w:afterLines="100"/>
      <w:jc w:val="center"/>
      <w:outlineLvl w:val="0"/>
    </w:pPr>
    <w:rPr>
      <w:rFonts w:ascii="黑体" w:hAnsi="Times New Roman" w:eastAsia="黑体" w:cs="Times New Roman"/>
      <w:b/>
      <w:bCs/>
      <w:kern w:val="2"/>
      <w:sz w:val="44"/>
      <w:szCs w:val="44"/>
      <w:lang w:val="en-US" w:eastAsia="zh-CN" w:bidi="ar-SA"/>
    </w:rPr>
  </w:style>
  <w:style w:type="character" w:customStyle="1" w:styleId="43">
    <w:name w:val="副标题 字符"/>
    <w:basedOn w:val="33"/>
    <w:link w:val="24"/>
    <w:qFormat/>
    <w:uiPriority w:val="0"/>
    <w:rPr>
      <w:rFonts w:ascii="Cambria" w:hAnsi="Cambria" w:cs="Times New Roman"/>
      <w:b/>
      <w:bCs/>
      <w:kern w:val="28"/>
      <w:sz w:val="32"/>
      <w:szCs w:val="32"/>
    </w:rPr>
  </w:style>
  <w:style w:type="paragraph" w:customStyle="1" w:styleId="44">
    <w:name w:val="列出段落1"/>
    <w:basedOn w:val="1"/>
    <w:qFormat/>
    <w:uiPriority w:val="99"/>
    <w:pPr>
      <w:ind w:firstLine="420" w:firstLineChars="200"/>
    </w:pPr>
  </w:style>
  <w:style w:type="paragraph" w:customStyle="1" w:styleId="45">
    <w:name w:val="二级目录"/>
    <w:next w:val="1"/>
    <w:link w:val="55"/>
    <w:qFormat/>
    <w:uiPriority w:val="99"/>
    <w:pPr>
      <w:numPr>
        <w:ilvl w:val="0"/>
        <w:numId w:val="2"/>
      </w:numPr>
      <w:outlineLvl w:val="1"/>
    </w:pPr>
    <w:rPr>
      <w:rFonts w:ascii="Calibri" w:hAnsi="Calibri" w:eastAsia="宋体" w:cs="Times New Roman"/>
      <w:b/>
      <w:bCs/>
      <w:kern w:val="2"/>
      <w:sz w:val="28"/>
      <w:szCs w:val="28"/>
      <w:lang w:val="en-US" w:eastAsia="zh-CN" w:bidi="ar-SA"/>
    </w:rPr>
  </w:style>
  <w:style w:type="paragraph" w:customStyle="1" w:styleId="46">
    <w:name w:val="_Style 3"/>
    <w:basedOn w:val="1"/>
    <w:next w:val="1"/>
    <w:qFormat/>
    <w:uiPriority w:val="99"/>
    <w:pPr>
      <w:widowControl/>
      <w:pBdr>
        <w:bottom w:val="single" w:color="auto" w:sz="6" w:space="1"/>
      </w:pBdr>
      <w:jc w:val="center"/>
    </w:pPr>
    <w:rPr>
      <w:rFonts w:ascii="Arial" w:hAnsi="Arial" w:cs="Arial"/>
      <w:vanish/>
      <w:kern w:val="0"/>
      <w:sz w:val="16"/>
      <w:szCs w:val="16"/>
    </w:rPr>
  </w:style>
  <w:style w:type="paragraph" w:customStyle="1" w:styleId="47">
    <w:name w:val="Char1"/>
    <w:basedOn w:val="1"/>
    <w:qFormat/>
    <w:uiPriority w:val="99"/>
    <w:rPr>
      <w:rFonts w:ascii="Tahoma" w:hAnsi="Tahoma" w:cs="Tahoma"/>
      <w:sz w:val="24"/>
      <w:szCs w:val="24"/>
    </w:rPr>
  </w:style>
  <w:style w:type="paragraph" w:customStyle="1" w:styleId="48">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49">
    <w:name w:val="列出段落2"/>
    <w:basedOn w:val="1"/>
    <w:qFormat/>
    <w:uiPriority w:val="34"/>
    <w:pPr>
      <w:ind w:firstLine="420" w:firstLineChars="200"/>
    </w:pPr>
  </w:style>
  <w:style w:type="paragraph" w:customStyle="1" w:styleId="50">
    <w:name w:val="段"/>
    <w:qFormat/>
    <w:uiPriority w:val="99"/>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51">
    <w:name w:val="WPSOffice手动目录 1"/>
    <w:qFormat/>
    <w:uiPriority w:val="0"/>
    <w:rPr>
      <w:rFonts w:ascii="Times New Roman" w:hAnsi="Times New Roman" w:eastAsia="宋体" w:cs="Times New Roman"/>
      <w:lang w:val="en-US" w:eastAsia="zh-CN" w:bidi="ar-SA"/>
    </w:rPr>
  </w:style>
  <w:style w:type="paragraph" w:customStyle="1" w:styleId="52">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53">
    <w:name w:val="批注框文本 字符"/>
    <w:basedOn w:val="33"/>
    <w:link w:val="18"/>
    <w:qFormat/>
    <w:uiPriority w:val="0"/>
    <w:rPr>
      <w:rFonts w:ascii="Calibri" w:hAnsi="Calibri" w:cs="Calibri"/>
      <w:kern w:val="2"/>
      <w:sz w:val="18"/>
      <w:szCs w:val="18"/>
    </w:rPr>
  </w:style>
  <w:style w:type="character" w:customStyle="1" w:styleId="54">
    <w:name w:val="普通正文 Char"/>
    <w:link w:val="41"/>
    <w:qFormat/>
    <w:uiPriority w:val="99"/>
    <w:rPr>
      <w:rFonts w:ascii="Arial" w:hAnsi="Arial" w:cs="Arial"/>
      <w:kern w:val="0"/>
      <w:sz w:val="24"/>
      <w:szCs w:val="24"/>
    </w:rPr>
  </w:style>
  <w:style w:type="character" w:customStyle="1" w:styleId="55">
    <w:name w:val="二级目录 Char"/>
    <w:link w:val="45"/>
    <w:qFormat/>
    <w:uiPriority w:val="99"/>
    <w:rPr>
      <w:rFonts w:ascii="Calibri" w:hAnsi="Calibri" w:eastAsia="宋体" w:cs="Times New Roman"/>
      <w:b/>
      <w:bCs/>
      <w:kern w:val="2"/>
      <w:sz w:val="28"/>
      <w:szCs w:val="28"/>
      <w:lang w:val="en-US" w:eastAsia="zh-CN" w:bidi="ar-SA"/>
    </w:rPr>
  </w:style>
  <w:style w:type="paragraph" w:customStyle="1" w:styleId="56">
    <w:name w:val="报告正文"/>
    <w:basedOn w:val="1"/>
    <w:qFormat/>
    <w:uiPriority w:val="0"/>
    <w:pPr>
      <w:adjustRightInd w:val="0"/>
      <w:snapToGrid w:val="0"/>
      <w:ind w:firstLine="560" w:firstLineChars="200"/>
    </w:pPr>
    <w:rPr>
      <w:kern w:val="0"/>
      <w:szCs w:val="20"/>
      <w:lang w:val="zh-CN"/>
    </w:rPr>
  </w:style>
  <w:style w:type="paragraph" w:customStyle="1" w:styleId="57">
    <w:name w:val="表格非标题文字"/>
    <w:qFormat/>
    <w:uiPriority w:val="0"/>
    <w:pPr>
      <w:snapToGrid w:val="0"/>
      <w:spacing w:before="80" w:after="40"/>
    </w:pPr>
    <w:rPr>
      <w:rFonts w:ascii="Futura Bk" w:hAnsi="Futura Bk" w:eastAsia="宋体" w:cs="Times New Roman"/>
      <w:kern w:val="2"/>
      <w:sz w:val="18"/>
      <w:szCs w:val="21"/>
      <w:lang w:val="en-US" w:eastAsia="zh-CN" w:bidi="ar-SA"/>
    </w:rPr>
  </w:style>
  <w:style w:type="paragraph" w:customStyle="1" w:styleId="58">
    <w:name w:val="表格文字"/>
    <w:basedOn w:val="1"/>
    <w:qFormat/>
    <w:uiPriority w:val="0"/>
    <w:pPr>
      <w:jc w:val="left"/>
      <w:textAlignment w:val="top"/>
    </w:pPr>
    <w:rPr>
      <w:rFonts w:cs="Times New Roman"/>
      <w:sz w:val="18"/>
    </w:rPr>
  </w:style>
  <w:style w:type="paragraph" w:customStyle="1" w:styleId="59">
    <w:name w:val="Table Text"/>
    <w:basedOn w:val="1"/>
    <w:qFormat/>
    <w:uiPriority w:val="0"/>
    <w:rPr>
      <w:rFonts w:cs="Times New Roman"/>
      <w:sz w:val="18"/>
    </w:rPr>
  </w:style>
  <w:style w:type="paragraph" w:customStyle="1" w:styleId="60">
    <w:name w:val="Body text|2"/>
    <w:basedOn w:val="1"/>
    <w:qFormat/>
    <w:uiPriority w:val="0"/>
    <w:pPr>
      <w:spacing w:line="341" w:lineRule="exact"/>
      <w:ind w:left="640" w:firstLine="580"/>
    </w:pPr>
    <w:rPr>
      <w:rFonts w:ascii="宋体" w:hAnsi="宋体" w:cs="宋体"/>
      <w:sz w:val="28"/>
      <w:szCs w:val="28"/>
      <w:lang w:val="zh-TW" w:eastAsia="zh-TW" w:bidi="zh-TW"/>
    </w:rPr>
  </w:style>
  <w:style w:type="paragraph" w:customStyle="1" w:styleId="61">
    <w:name w:val="DAS正文"/>
    <w:qFormat/>
    <w:uiPriority w:val="0"/>
    <w:pPr>
      <w:widowControl w:val="0"/>
      <w:spacing w:line="360" w:lineRule="auto"/>
      <w:ind w:right="181" w:firstLine="480"/>
      <w:jc w:val="both"/>
    </w:pPr>
    <w:rPr>
      <w:rFonts w:ascii="Verdana" w:hAnsi="Verdana" w:eastAsia="宋体" w:cs="Times New Roman"/>
      <w:kern w:val="2"/>
      <w:sz w:val="21"/>
      <w:szCs w:val="24"/>
      <w:lang w:val="en-US" w:eastAsia="zh-CN" w:bidi="ar-SA"/>
    </w:rPr>
  </w:style>
  <w:style w:type="character" w:customStyle="1" w:styleId="62">
    <w:name w:val="NormalCharacter"/>
    <w:qFormat/>
    <w:uiPriority w:val="0"/>
    <w:rPr>
      <w:rFonts w:ascii="Calibri" w:hAnsi="Calibri" w:eastAsia="宋体" w:cs="Calibri"/>
      <w:kern w:val="2"/>
      <w:sz w:val="21"/>
      <w:szCs w:val="21"/>
      <w:lang w:val="en-US" w:eastAsia="zh-CN" w:bidi="ar-SA"/>
    </w:rPr>
  </w:style>
  <w:style w:type="paragraph" w:customStyle="1" w:styleId="63">
    <w:name w:val="正文缩进2格"/>
    <w:basedOn w:val="1"/>
    <w:qFormat/>
    <w:uiPriority w:val="0"/>
    <w:pPr>
      <w:spacing w:line="600" w:lineRule="exact"/>
      <w:ind w:firstLine="639" w:firstLineChars="206"/>
    </w:pPr>
    <w:rPr>
      <w:rFonts w:ascii="仿宋_GB2312" w:hAnsi="宋体" w:eastAsia="仿宋_GB2312"/>
      <w:sz w:val="31"/>
      <w:szCs w:val="28"/>
    </w:rPr>
  </w:style>
  <w:style w:type="character" w:customStyle="1" w:styleId="64">
    <w:name w:val="批注文字 字符"/>
    <w:basedOn w:val="33"/>
    <w:link w:val="9"/>
    <w:qFormat/>
    <w:uiPriority w:val="0"/>
    <w:rPr>
      <w:rFonts w:ascii="Calibri" w:hAnsi="Calibri" w:cs="Calibri"/>
      <w:kern w:val="2"/>
      <w:sz w:val="21"/>
      <w:szCs w:val="21"/>
    </w:rPr>
  </w:style>
  <w:style w:type="character" w:customStyle="1" w:styleId="65">
    <w:name w:val="批注主题 字符"/>
    <w:basedOn w:val="64"/>
    <w:link w:val="29"/>
    <w:qFormat/>
    <w:uiPriority w:val="0"/>
    <w:rPr>
      <w:rFonts w:ascii="Calibri" w:hAnsi="Calibri" w:cs="Calibri"/>
      <w:b/>
      <w:bCs/>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jpeg"/><Relationship Id="rId16" Type="http://schemas.openxmlformats.org/officeDocument/2006/relationships/theme" Target="theme/theme1.xml"/><Relationship Id="rId15" Type="http://schemas.openxmlformats.org/officeDocument/2006/relationships/footer" Target="footer8.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43</Pages>
  <Words>3590</Words>
  <Characters>20466</Characters>
  <Lines>170</Lines>
  <Paragraphs>48</Paragraphs>
  <TotalTime>8</TotalTime>
  <ScaleCrop>false</ScaleCrop>
  <LinksUpToDate>false</LinksUpToDate>
  <CharactersWithSpaces>24008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2023-12-01T06:00:00Z</dcterms:created>
  <dc:creator>炎凉1383733811</dc:creator>
  <cp:lastModifiedBy>WPS_1695114314</cp:lastModifiedBy>
  <cp:lastPrinted>2022-10-12T14:04:00Z</cp:lastPrinted>
  <dcterms:modified xsi:type="dcterms:W3CDTF">2023-12-04T02:35:32Z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AE2E792BA36042D8B86ABA368D7EF251</vt:lpwstr>
  </property>
</Properties>
</file>