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26ADA5">
      <w:pPr>
        <w:pStyle w:val="28"/>
        <w:spacing w:before="0" w:after="0"/>
        <w:ind w:firstLine="0" w:firstLineChars="0"/>
        <w:rPr>
          <w:rFonts w:ascii="仿宋" w:hAnsi="仿宋" w:eastAsia="仿宋" w:cs="仿宋"/>
          <w:b/>
          <w:bCs/>
          <w:color w:val="000000"/>
          <w:sz w:val="84"/>
        </w:rPr>
      </w:pPr>
    </w:p>
    <w:p w14:paraId="5A2CB1C1">
      <w:pPr>
        <w:pStyle w:val="28"/>
        <w:spacing w:before="0" w:after="0"/>
        <w:ind w:firstLine="0" w:firstLineChars="0"/>
        <w:jc w:val="center"/>
        <w:rPr>
          <w:rFonts w:ascii="仿宋" w:hAnsi="仿宋" w:eastAsia="仿宋" w:cs="仿宋"/>
          <w:b/>
          <w:bCs/>
          <w:color w:val="000000"/>
          <w:sz w:val="84"/>
        </w:rPr>
      </w:pPr>
      <w:r>
        <w:rPr>
          <w:rFonts w:hint="eastAsia" w:ascii="仿宋" w:hAnsi="仿宋" w:eastAsia="仿宋" w:cs="仿宋"/>
          <w:b/>
          <w:bCs/>
          <w:color w:val="000000"/>
          <w:sz w:val="84"/>
        </w:rPr>
        <w:t>竞争性磋商文件</w:t>
      </w:r>
    </w:p>
    <w:p w14:paraId="1C29F566">
      <w:pPr>
        <w:pStyle w:val="28"/>
        <w:spacing w:before="0" w:after="0"/>
        <w:ind w:firstLine="1687"/>
        <w:jc w:val="center"/>
        <w:rPr>
          <w:rFonts w:ascii="仿宋" w:hAnsi="仿宋" w:eastAsia="仿宋" w:cs="仿宋"/>
          <w:b/>
          <w:bCs/>
          <w:color w:val="000000"/>
          <w:sz w:val="84"/>
        </w:rPr>
      </w:pPr>
    </w:p>
    <w:p w14:paraId="694FB597">
      <w:pPr>
        <w:pStyle w:val="28"/>
        <w:spacing w:before="0" w:after="0"/>
        <w:ind w:firstLine="723"/>
        <w:rPr>
          <w:rFonts w:ascii="仿宋" w:hAnsi="仿宋" w:eastAsia="仿宋" w:cs="仿宋"/>
          <w:b/>
          <w:bCs/>
          <w:color w:val="000000"/>
          <w:sz w:val="36"/>
          <w:szCs w:val="36"/>
        </w:rPr>
      </w:pPr>
    </w:p>
    <w:p w14:paraId="01C46ED9">
      <w:pPr>
        <w:pStyle w:val="28"/>
        <w:spacing w:before="0" w:after="0"/>
        <w:ind w:firstLine="723"/>
        <w:rPr>
          <w:rFonts w:ascii="仿宋" w:hAnsi="仿宋" w:eastAsia="仿宋" w:cs="仿宋"/>
          <w:b/>
          <w:bCs/>
          <w:color w:val="000000"/>
          <w:sz w:val="36"/>
          <w:szCs w:val="36"/>
        </w:rPr>
      </w:pPr>
    </w:p>
    <w:p w14:paraId="02B02DEA">
      <w:pPr>
        <w:pStyle w:val="28"/>
        <w:spacing w:before="0" w:after="0" w:line="720" w:lineRule="auto"/>
        <w:ind w:firstLine="723"/>
        <w:jc w:val="center"/>
        <w:rPr>
          <w:rFonts w:ascii="仿宋" w:hAnsi="仿宋" w:eastAsia="仿宋" w:cs="仿宋"/>
          <w:b/>
          <w:bCs/>
          <w:color w:val="000000"/>
          <w:sz w:val="36"/>
          <w:szCs w:val="36"/>
        </w:rPr>
      </w:pPr>
      <w:r>
        <w:rPr>
          <w:rFonts w:hint="eastAsia" w:ascii="仿宋" w:hAnsi="仿宋" w:eastAsia="仿宋" w:cs="仿宋"/>
          <w:b/>
          <w:bCs/>
          <w:color w:val="000000" w:themeColor="text1"/>
          <w:sz w:val="36"/>
          <w:szCs w:val="36"/>
          <w14:textFill>
            <w14:solidFill>
              <w14:schemeClr w14:val="tx1"/>
            </w14:solidFill>
          </w14:textFill>
        </w:rPr>
        <w:t>项目名称：</w:t>
      </w:r>
      <w:r>
        <w:rPr>
          <w:rFonts w:hint="eastAsia" w:ascii="仿宋" w:hAnsi="仿宋" w:eastAsia="仿宋" w:cs="仿宋"/>
          <w:b/>
          <w:bCs/>
          <w:color w:val="000000"/>
          <w:sz w:val="36"/>
          <w:szCs w:val="36"/>
        </w:rPr>
        <w:t>江苏省高级人民法院密评项目</w:t>
      </w:r>
    </w:p>
    <w:p w14:paraId="3E60F058">
      <w:pPr>
        <w:pStyle w:val="28"/>
        <w:spacing w:before="0" w:after="0" w:line="720" w:lineRule="auto"/>
        <w:ind w:firstLine="723"/>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项目编号：NJDCX-202406120824</w:t>
      </w:r>
    </w:p>
    <w:p w14:paraId="2530BC8C">
      <w:pPr>
        <w:pStyle w:val="28"/>
        <w:spacing w:before="0" w:after="0"/>
        <w:ind w:firstLine="0" w:firstLineChars="0"/>
        <w:jc w:val="both"/>
        <w:rPr>
          <w:rFonts w:ascii="仿宋" w:hAnsi="仿宋" w:eastAsia="仿宋" w:cs="仿宋"/>
          <w:b/>
          <w:bCs/>
          <w:color w:val="000000"/>
          <w:sz w:val="36"/>
          <w:szCs w:val="36"/>
        </w:rPr>
      </w:pPr>
    </w:p>
    <w:p w14:paraId="24885346">
      <w:pPr>
        <w:pStyle w:val="28"/>
        <w:spacing w:before="0" w:after="0"/>
        <w:ind w:firstLine="723"/>
        <w:jc w:val="center"/>
        <w:rPr>
          <w:rFonts w:ascii="仿宋" w:hAnsi="仿宋" w:eastAsia="仿宋" w:cs="仿宋"/>
          <w:b/>
          <w:bCs/>
          <w:color w:val="000000"/>
          <w:sz w:val="36"/>
          <w:szCs w:val="36"/>
        </w:rPr>
      </w:pPr>
    </w:p>
    <w:p w14:paraId="126F6DD5">
      <w:pPr>
        <w:pStyle w:val="28"/>
        <w:spacing w:before="0" w:after="0"/>
        <w:ind w:firstLine="723"/>
        <w:jc w:val="both"/>
        <w:rPr>
          <w:rFonts w:ascii="仿宋" w:hAnsi="仿宋" w:eastAsia="仿宋" w:cs="仿宋"/>
          <w:b/>
          <w:bCs/>
          <w:color w:val="000000"/>
          <w:sz w:val="36"/>
          <w:szCs w:val="36"/>
        </w:rPr>
      </w:pPr>
    </w:p>
    <w:p w14:paraId="7B5C8ECE">
      <w:pPr>
        <w:pStyle w:val="28"/>
        <w:spacing w:before="0" w:after="0"/>
        <w:ind w:firstLine="723"/>
        <w:jc w:val="both"/>
        <w:rPr>
          <w:rFonts w:ascii="仿宋" w:hAnsi="仿宋" w:eastAsia="仿宋" w:cs="仿宋"/>
          <w:b/>
          <w:bCs/>
          <w:color w:val="000000"/>
          <w:sz w:val="36"/>
          <w:szCs w:val="36"/>
        </w:rPr>
      </w:pPr>
    </w:p>
    <w:p w14:paraId="3AFDFCFE">
      <w:pPr>
        <w:pStyle w:val="28"/>
        <w:spacing w:before="0" w:after="0"/>
        <w:ind w:firstLine="723"/>
        <w:jc w:val="center"/>
        <w:rPr>
          <w:rFonts w:ascii="仿宋" w:hAnsi="仿宋" w:eastAsia="仿宋" w:cs="仿宋"/>
          <w:b/>
          <w:bCs/>
          <w:color w:val="000000"/>
          <w:sz w:val="36"/>
          <w:szCs w:val="36"/>
        </w:rPr>
      </w:pPr>
    </w:p>
    <w:p w14:paraId="6881495C">
      <w:pPr>
        <w:pStyle w:val="28"/>
        <w:spacing w:before="0" w:after="0" w:line="720" w:lineRule="auto"/>
        <w:ind w:firstLine="0" w:firstLineChars="0"/>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采 购 人：江苏省高级人民法院</w:t>
      </w:r>
    </w:p>
    <w:p w14:paraId="7F28FCAC">
      <w:pPr>
        <w:pStyle w:val="28"/>
        <w:spacing w:before="0" w:after="0" w:line="720" w:lineRule="auto"/>
        <w:ind w:firstLine="0" w:firstLineChars="0"/>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代理机构：南京达琛鑫工程咨询有限公司</w:t>
      </w:r>
    </w:p>
    <w:p w14:paraId="454B8D9A">
      <w:pPr>
        <w:pStyle w:val="28"/>
        <w:spacing w:before="0" w:after="0" w:line="720" w:lineRule="auto"/>
        <w:ind w:firstLine="0" w:firstLineChars="0"/>
        <w:jc w:val="center"/>
        <w:rPr>
          <w:rFonts w:ascii="仿宋" w:hAnsi="仿宋" w:eastAsia="仿宋" w:cs="仿宋"/>
          <w:color w:val="000000"/>
          <w:kern w:val="2"/>
          <w:sz w:val="30"/>
          <w:szCs w:val="30"/>
        </w:rPr>
      </w:pPr>
      <w:r>
        <w:rPr>
          <w:rFonts w:hint="eastAsia" w:ascii="仿宋" w:hAnsi="仿宋" w:eastAsia="仿宋" w:cs="仿宋"/>
          <w:b/>
          <w:bCs/>
          <w:color w:val="000000"/>
          <w:sz w:val="36"/>
          <w:szCs w:val="36"/>
        </w:rPr>
        <w:t>二 〇 二 四 年 八 月</w:t>
      </w:r>
    </w:p>
    <w:p w14:paraId="6EC2B567">
      <w:pPr>
        <w:spacing w:line="720" w:lineRule="auto"/>
        <w:jc w:val="center"/>
        <w:rPr>
          <w:rFonts w:ascii="仿宋" w:hAnsi="仿宋" w:eastAsia="仿宋" w:cs="仿宋"/>
          <w:b/>
          <w:bCs/>
          <w:color w:val="000000"/>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440" w:right="1310" w:bottom="1440" w:left="1310" w:header="624" w:footer="964" w:gutter="0"/>
          <w:cols w:space="0" w:num="1"/>
          <w:titlePg/>
          <w:docGrid w:type="lines" w:linePitch="312" w:charSpace="0"/>
        </w:sectPr>
      </w:pPr>
    </w:p>
    <w:p w14:paraId="72E910CF">
      <w:pPr>
        <w:spacing w:line="240" w:lineRule="atLeast"/>
        <w:jc w:val="center"/>
        <w:rPr>
          <w:rFonts w:ascii="仿宋" w:hAnsi="仿宋" w:eastAsia="仿宋" w:cs="仿宋"/>
          <w:b/>
          <w:bCs/>
          <w:color w:val="000000"/>
          <w:sz w:val="32"/>
          <w:szCs w:val="32"/>
        </w:rPr>
      </w:pPr>
      <w:r>
        <w:rPr>
          <w:rFonts w:hint="eastAsia" w:ascii="仿宋" w:hAnsi="仿宋" w:eastAsia="仿宋" w:cs="仿宋"/>
          <w:b/>
          <w:bCs/>
          <w:color w:val="000000"/>
          <w:sz w:val="32"/>
          <w:szCs w:val="32"/>
        </w:rPr>
        <w:t>目  录</w:t>
      </w:r>
    </w:p>
    <w:p w14:paraId="08F96258">
      <w:pPr>
        <w:pStyle w:val="14"/>
        <w:tabs>
          <w:tab w:val="right" w:leader="dot" w:pos="9174"/>
        </w:tabs>
      </w:pPr>
      <w:r>
        <w:rPr>
          <w:rFonts w:hint="eastAsia" w:ascii="仿宋" w:hAnsi="仿宋" w:eastAsia="仿宋" w:cs="仿宋"/>
          <w:color w:val="000000"/>
        </w:rPr>
        <w:fldChar w:fldCharType="begin"/>
      </w:r>
      <w:r>
        <w:rPr>
          <w:rFonts w:hint="eastAsia" w:ascii="仿宋" w:hAnsi="仿宋" w:eastAsia="仿宋" w:cs="仿宋"/>
          <w:color w:val="000000"/>
        </w:rPr>
        <w:instrText xml:space="preserve">TOC \o "1-1" \h \u </w:instrText>
      </w:r>
      <w:r>
        <w:rPr>
          <w:rFonts w:hint="eastAsia" w:ascii="仿宋" w:hAnsi="仿宋" w:eastAsia="仿宋" w:cs="仿宋"/>
          <w:color w:val="000000"/>
        </w:rPr>
        <w:fldChar w:fldCharType="separate"/>
      </w:r>
      <w:r>
        <w:rPr>
          <w:rFonts w:hint="eastAsia" w:ascii="仿宋" w:hAnsi="仿宋" w:eastAsia="仿宋" w:cs="仿宋"/>
          <w:color w:val="000000"/>
        </w:rPr>
        <w:fldChar w:fldCharType="begin"/>
      </w:r>
      <w:r>
        <w:rPr>
          <w:rFonts w:hint="eastAsia" w:ascii="仿宋" w:hAnsi="仿宋" w:eastAsia="仿宋" w:cs="仿宋"/>
        </w:rPr>
        <w:instrText xml:space="preserve"> HYPERLINK \l _Toc31894 </w:instrText>
      </w:r>
      <w:r>
        <w:rPr>
          <w:rFonts w:hint="eastAsia" w:ascii="仿宋" w:hAnsi="仿宋" w:eastAsia="仿宋" w:cs="仿宋"/>
        </w:rPr>
        <w:fldChar w:fldCharType="separate"/>
      </w:r>
      <w:r>
        <w:rPr>
          <w:rFonts w:hint="eastAsia" w:ascii="仿宋" w:hAnsi="仿宋" w:eastAsia="仿宋" w:cs="仿宋"/>
        </w:rPr>
        <w:t>第一章  采购邀请（采购公告）</w:t>
      </w:r>
      <w:r>
        <w:tab/>
      </w:r>
      <w:r>
        <w:fldChar w:fldCharType="begin"/>
      </w:r>
      <w:r>
        <w:instrText xml:space="preserve"> PAGEREF _Toc31894 \h </w:instrText>
      </w:r>
      <w:r>
        <w:fldChar w:fldCharType="separate"/>
      </w:r>
      <w:r>
        <w:t>1</w:t>
      </w:r>
      <w:r>
        <w:fldChar w:fldCharType="end"/>
      </w:r>
      <w:r>
        <w:rPr>
          <w:rFonts w:hint="eastAsia" w:ascii="仿宋" w:hAnsi="仿宋" w:eastAsia="仿宋" w:cs="仿宋"/>
          <w:color w:val="000000"/>
        </w:rPr>
        <w:fldChar w:fldCharType="end"/>
      </w:r>
    </w:p>
    <w:p w14:paraId="73501168">
      <w:pPr>
        <w:pStyle w:val="14"/>
        <w:tabs>
          <w:tab w:val="right" w:leader="dot" w:pos="9174"/>
        </w:tabs>
      </w:pPr>
      <w:r>
        <w:rPr>
          <w:rFonts w:hint="eastAsia" w:ascii="仿宋" w:hAnsi="仿宋" w:eastAsia="仿宋" w:cs="仿宋"/>
          <w:color w:val="000000"/>
        </w:rPr>
        <w:fldChar w:fldCharType="begin"/>
      </w:r>
      <w:r>
        <w:rPr>
          <w:rFonts w:hint="eastAsia" w:ascii="仿宋" w:hAnsi="仿宋" w:eastAsia="仿宋" w:cs="仿宋"/>
        </w:rPr>
        <w:instrText xml:space="preserve"> HYPERLINK \l _Toc12392 </w:instrText>
      </w:r>
      <w:r>
        <w:rPr>
          <w:rFonts w:hint="eastAsia" w:ascii="仿宋" w:hAnsi="仿宋" w:eastAsia="仿宋" w:cs="仿宋"/>
        </w:rPr>
        <w:fldChar w:fldCharType="separate"/>
      </w:r>
      <w:r>
        <w:rPr>
          <w:rFonts w:hint="eastAsia" w:ascii="仿宋" w:hAnsi="仿宋" w:eastAsia="仿宋" w:cs="仿宋"/>
        </w:rPr>
        <w:t>第二章  磋商须知</w:t>
      </w:r>
      <w:r>
        <w:tab/>
      </w:r>
      <w:r>
        <w:fldChar w:fldCharType="begin"/>
      </w:r>
      <w:r>
        <w:instrText xml:space="preserve"> PAGEREF _Toc12392 \h </w:instrText>
      </w:r>
      <w:r>
        <w:fldChar w:fldCharType="separate"/>
      </w:r>
      <w:r>
        <w:t>4</w:t>
      </w:r>
      <w:r>
        <w:fldChar w:fldCharType="end"/>
      </w:r>
      <w:r>
        <w:rPr>
          <w:rFonts w:hint="eastAsia" w:ascii="仿宋" w:hAnsi="仿宋" w:eastAsia="仿宋" w:cs="仿宋"/>
          <w:color w:val="000000"/>
        </w:rPr>
        <w:fldChar w:fldCharType="end"/>
      </w:r>
    </w:p>
    <w:p w14:paraId="5F0A4BBB">
      <w:pPr>
        <w:pStyle w:val="14"/>
        <w:tabs>
          <w:tab w:val="right" w:leader="dot" w:pos="9174"/>
        </w:tabs>
      </w:pPr>
      <w:r>
        <w:rPr>
          <w:rFonts w:hint="eastAsia" w:ascii="仿宋" w:hAnsi="仿宋" w:eastAsia="仿宋" w:cs="仿宋"/>
          <w:color w:val="000000"/>
        </w:rPr>
        <w:fldChar w:fldCharType="begin"/>
      </w:r>
      <w:r>
        <w:rPr>
          <w:rFonts w:hint="eastAsia" w:ascii="仿宋" w:hAnsi="仿宋" w:eastAsia="仿宋" w:cs="仿宋"/>
        </w:rPr>
        <w:instrText xml:space="preserve"> HYPERLINK \l _Toc8448 </w:instrText>
      </w:r>
      <w:r>
        <w:rPr>
          <w:rFonts w:hint="eastAsia" w:ascii="仿宋" w:hAnsi="仿宋" w:eastAsia="仿宋" w:cs="仿宋"/>
        </w:rPr>
        <w:fldChar w:fldCharType="separate"/>
      </w:r>
      <w:r>
        <w:rPr>
          <w:rFonts w:hint="eastAsia" w:ascii="仿宋" w:hAnsi="仿宋" w:eastAsia="仿宋" w:cs="仿宋"/>
        </w:rPr>
        <w:t>第三章  合同条款及格式</w:t>
      </w:r>
      <w:r>
        <w:tab/>
      </w:r>
      <w:r>
        <w:fldChar w:fldCharType="begin"/>
      </w:r>
      <w:r>
        <w:instrText xml:space="preserve"> PAGEREF _Toc8448 \h </w:instrText>
      </w:r>
      <w:r>
        <w:fldChar w:fldCharType="separate"/>
      </w:r>
      <w:r>
        <w:t>19</w:t>
      </w:r>
      <w:r>
        <w:fldChar w:fldCharType="end"/>
      </w:r>
      <w:r>
        <w:rPr>
          <w:rFonts w:hint="eastAsia" w:ascii="仿宋" w:hAnsi="仿宋" w:eastAsia="仿宋" w:cs="仿宋"/>
          <w:color w:val="000000"/>
        </w:rPr>
        <w:fldChar w:fldCharType="end"/>
      </w:r>
    </w:p>
    <w:p w14:paraId="5040AA50">
      <w:pPr>
        <w:pStyle w:val="14"/>
        <w:tabs>
          <w:tab w:val="right" w:leader="dot" w:pos="9174"/>
        </w:tabs>
      </w:pPr>
      <w:r>
        <w:rPr>
          <w:rFonts w:hint="eastAsia" w:ascii="仿宋" w:hAnsi="仿宋" w:eastAsia="仿宋" w:cs="仿宋"/>
          <w:color w:val="000000"/>
        </w:rPr>
        <w:fldChar w:fldCharType="begin"/>
      </w:r>
      <w:r>
        <w:rPr>
          <w:rFonts w:hint="eastAsia" w:ascii="仿宋" w:hAnsi="仿宋" w:eastAsia="仿宋" w:cs="仿宋"/>
        </w:rPr>
        <w:instrText xml:space="preserve"> HYPERLINK \l _Toc15998 </w:instrText>
      </w:r>
      <w:r>
        <w:rPr>
          <w:rFonts w:hint="eastAsia" w:ascii="仿宋" w:hAnsi="仿宋" w:eastAsia="仿宋" w:cs="仿宋"/>
        </w:rPr>
        <w:fldChar w:fldCharType="separate"/>
      </w:r>
      <w:r>
        <w:rPr>
          <w:rFonts w:hint="eastAsia" w:ascii="仿宋" w:hAnsi="仿宋" w:eastAsia="仿宋" w:cs="仿宋"/>
        </w:rPr>
        <w:t>第四章  项目需求</w:t>
      </w:r>
      <w:r>
        <w:tab/>
      </w:r>
      <w:r>
        <w:fldChar w:fldCharType="begin"/>
      </w:r>
      <w:r>
        <w:instrText xml:space="preserve"> PAGEREF _Toc15998 \h </w:instrText>
      </w:r>
      <w:r>
        <w:fldChar w:fldCharType="separate"/>
      </w:r>
      <w:r>
        <w:t>22</w:t>
      </w:r>
      <w:r>
        <w:fldChar w:fldCharType="end"/>
      </w:r>
      <w:r>
        <w:rPr>
          <w:rFonts w:hint="eastAsia" w:ascii="仿宋" w:hAnsi="仿宋" w:eastAsia="仿宋" w:cs="仿宋"/>
          <w:color w:val="000000"/>
        </w:rPr>
        <w:fldChar w:fldCharType="end"/>
      </w:r>
    </w:p>
    <w:p w14:paraId="37E448C3">
      <w:pPr>
        <w:pStyle w:val="14"/>
        <w:tabs>
          <w:tab w:val="right" w:leader="dot" w:pos="9174"/>
        </w:tabs>
      </w:pPr>
      <w:r>
        <w:rPr>
          <w:rFonts w:hint="eastAsia" w:ascii="仿宋" w:hAnsi="仿宋" w:eastAsia="仿宋" w:cs="仿宋"/>
          <w:color w:val="000000"/>
        </w:rPr>
        <w:fldChar w:fldCharType="begin"/>
      </w:r>
      <w:r>
        <w:rPr>
          <w:rFonts w:hint="eastAsia" w:ascii="仿宋" w:hAnsi="仿宋" w:eastAsia="仿宋" w:cs="仿宋"/>
        </w:rPr>
        <w:instrText xml:space="preserve"> HYPERLINK \l _Toc7651 </w:instrText>
      </w:r>
      <w:r>
        <w:rPr>
          <w:rFonts w:hint="eastAsia" w:ascii="仿宋" w:hAnsi="仿宋" w:eastAsia="仿宋" w:cs="仿宋"/>
        </w:rPr>
        <w:fldChar w:fldCharType="separate"/>
      </w:r>
      <w:r>
        <w:rPr>
          <w:rFonts w:hint="eastAsia" w:ascii="仿宋" w:hAnsi="仿宋" w:eastAsia="仿宋" w:cs="仿宋"/>
        </w:rPr>
        <w:t>第五章  评审方法与评审标准</w:t>
      </w:r>
      <w:r>
        <w:tab/>
      </w:r>
      <w:r>
        <w:fldChar w:fldCharType="begin"/>
      </w:r>
      <w:r>
        <w:instrText xml:space="preserve"> PAGEREF _Toc7651 \h </w:instrText>
      </w:r>
      <w:r>
        <w:fldChar w:fldCharType="separate"/>
      </w:r>
      <w:r>
        <w:t>26</w:t>
      </w:r>
      <w:r>
        <w:fldChar w:fldCharType="end"/>
      </w:r>
      <w:r>
        <w:rPr>
          <w:rFonts w:hint="eastAsia" w:ascii="仿宋" w:hAnsi="仿宋" w:eastAsia="仿宋" w:cs="仿宋"/>
          <w:color w:val="000000"/>
        </w:rPr>
        <w:fldChar w:fldCharType="end"/>
      </w:r>
    </w:p>
    <w:p w14:paraId="25B2A7AD">
      <w:pPr>
        <w:pStyle w:val="14"/>
        <w:tabs>
          <w:tab w:val="right" w:leader="dot" w:pos="9174"/>
        </w:tabs>
      </w:pPr>
      <w:r>
        <w:rPr>
          <w:rFonts w:hint="eastAsia" w:ascii="仿宋" w:hAnsi="仿宋" w:eastAsia="仿宋" w:cs="仿宋"/>
          <w:color w:val="000000"/>
        </w:rPr>
        <w:fldChar w:fldCharType="begin"/>
      </w:r>
      <w:r>
        <w:rPr>
          <w:rFonts w:hint="eastAsia" w:ascii="仿宋" w:hAnsi="仿宋" w:eastAsia="仿宋" w:cs="仿宋"/>
        </w:rPr>
        <w:instrText xml:space="preserve"> HYPERLINK \l _Toc1800 </w:instrText>
      </w:r>
      <w:r>
        <w:rPr>
          <w:rFonts w:hint="eastAsia" w:ascii="仿宋" w:hAnsi="仿宋" w:eastAsia="仿宋" w:cs="仿宋"/>
        </w:rPr>
        <w:fldChar w:fldCharType="separate"/>
      </w:r>
      <w:r>
        <w:rPr>
          <w:rFonts w:hint="eastAsia" w:ascii="仿宋" w:hAnsi="仿宋" w:eastAsia="仿宋" w:cs="仿宋"/>
        </w:rPr>
        <w:t>第六章  响应文件格式</w:t>
      </w:r>
      <w:r>
        <w:tab/>
      </w:r>
      <w:r>
        <w:fldChar w:fldCharType="begin"/>
      </w:r>
      <w:r>
        <w:instrText xml:space="preserve"> PAGEREF _Toc1800 \h </w:instrText>
      </w:r>
      <w:r>
        <w:fldChar w:fldCharType="separate"/>
      </w:r>
      <w:r>
        <w:t>30</w:t>
      </w:r>
      <w:r>
        <w:fldChar w:fldCharType="end"/>
      </w:r>
      <w:r>
        <w:rPr>
          <w:rFonts w:hint="eastAsia" w:ascii="仿宋" w:hAnsi="仿宋" w:eastAsia="仿宋" w:cs="仿宋"/>
          <w:color w:val="000000"/>
        </w:rPr>
        <w:fldChar w:fldCharType="end"/>
      </w:r>
    </w:p>
    <w:p w14:paraId="6153CCB9">
      <w:pPr>
        <w:widowControl/>
        <w:adjustRightInd w:val="0"/>
        <w:ind w:left="630" w:leftChars="300" w:right="1050" w:rightChars="500"/>
        <w:jc w:val="center"/>
        <w:rPr>
          <w:rFonts w:ascii="仿宋" w:hAnsi="仿宋" w:eastAsia="仿宋" w:cs="仿宋"/>
          <w:color w:val="000000"/>
        </w:rPr>
      </w:pPr>
      <w:r>
        <w:rPr>
          <w:rFonts w:hint="eastAsia" w:ascii="仿宋" w:hAnsi="仿宋" w:eastAsia="仿宋" w:cs="仿宋"/>
          <w:color w:val="000000"/>
        </w:rPr>
        <w:fldChar w:fldCharType="end"/>
      </w:r>
    </w:p>
    <w:p w14:paraId="658B2DE9">
      <w:pPr>
        <w:pStyle w:val="29"/>
        <w:pageBreakBefore/>
        <w:widowControl w:val="0"/>
        <w:spacing w:after="312" w:line="360" w:lineRule="auto"/>
        <w:rPr>
          <w:rFonts w:ascii="仿宋" w:hAnsi="仿宋" w:eastAsia="仿宋" w:cs="仿宋"/>
          <w:color w:val="000000"/>
          <w:sz w:val="40"/>
        </w:rPr>
        <w:sectPr>
          <w:footerReference r:id="rId10" w:type="first"/>
          <w:footerReference r:id="rId9" w:type="default"/>
          <w:pgSz w:w="11906" w:h="16838"/>
          <w:pgMar w:top="1440" w:right="1366" w:bottom="1440" w:left="1366" w:header="624" w:footer="964" w:gutter="0"/>
          <w:cols w:space="0" w:num="1"/>
          <w:titlePg/>
          <w:docGrid w:type="lines" w:linePitch="312" w:charSpace="0"/>
        </w:sectPr>
      </w:pPr>
    </w:p>
    <w:p w14:paraId="6A621451">
      <w:pPr>
        <w:pStyle w:val="29"/>
        <w:spacing w:after="312"/>
        <w:rPr>
          <w:rFonts w:ascii="仿宋" w:hAnsi="仿宋" w:eastAsia="仿宋" w:cs="仿宋"/>
        </w:rPr>
      </w:pPr>
      <w:bookmarkStart w:id="0" w:name="_Toc18241"/>
      <w:bookmarkStart w:id="1" w:name="_Toc9859"/>
      <w:bookmarkStart w:id="2" w:name="_Toc23365"/>
      <w:bookmarkStart w:id="3" w:name="_Toc25355"/>
      <w:bookmarkStart w:id="4" w:name="_Toc14044"/>
      <w:bookmarkStart w:id="5" w:name="_Toc4176"/>
      <w:bookmarkStart w:id="6" w:name="_Toc3062"/>
      <w:bookmarkStart w:id="7" w:name="_Toc18832"/>
      <w:bookmarkStart w:id="8" w:name="_Toc25734"/>
      <w:bookmarkStart w:id="9" w:name="_Toc29852"/>
      <w:bookmarkStart w:id="10" w:name="_Toc17659"/>
      <w:bookmarkStart w:id="11" w:name="_Toc15390"/>
      <w:bookmarkStart w:id="12" w:name="_Toc27499"/>
      <w:bookmarkStart w:id="13" w:name="_Toc23357"/>
      <w:bookmarkStart w:id="14" w:name="_Toc3404"/>
      <w:bookmarkStart w:id="15" w:name="_Toc19458"/>
      <w:bookmarkStart w:id="16" w:name="_Toc21265"/>
      <w:bookmarkStart w:id="17" w:name="_Toc26979"/>
      <w:bookmarkStart w:id="18" w:name="_Toc20139"/>
      <w:bookmarkStart w:id="19" w:name="_Toc2509"/>
      <w:bookmarkStart w:id="20" w:name="_Toc11373"/>
      <w:bookmarkStart w:id="21" w:name="_Toc14105"/>
      <w:bookmarkStart w:id="22" w:name="_Toc6886"/>
      <w:bookmarkStart w:id="23" w:name="_Toc30564"/>
      <w:bookmarkStart w:id="24" w:name="_Toc31894"/>
      <w:bookmarkStart w:id="25" w:name="_Toc23501"/>
      <w:bookmarkStart w:id="26" w:name="_Toc25487"/>
      <w:bookmarkStart w:id="27" w:name="_Toc28535"/>
      <w:r>
        <w:rPr>
          <w:rFonts w:hint="eastAsia" w:ascii="仿宋" w:hAnsi="仿宋" w:eastAsia="仿宋" w:cs="仿宋"/>
        </w:rPr>
        <w:t>第一章  采购邀请</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Pr>
          <w:rFonts w:hint="eastAsia" w:ascii="仿宋" w:hAnsi="仿宋" w:eastAsia="仿宋" w:cs="仿宋"/>
          <w:color w:val="000000" w:themeColor="text1"/>
          <w:sz w:val="40"/>
          <w14:textFill>
            <w14:solidFill>
              <w14:schemeClr w14:val="tx1"/>
            </w14:solidFill>
          </w14:textFill>
        </w:rPr>
        <w:t>（采购公告）</w:t>
      </w:r>
      <w:bookmarkEnd w:id="23"/>
      <w:bookmarkEnd w:id="24"/>
    </w:p>
    <w:p w14:paraId="6E9904BC">
      <w:pPr>
        <w:snapToGrid w:val="0"/>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sz w:val="24"/>
          <w:szCs w:val="24"/>
        </w:rPr>
        <w:t>南京达琛鑫工程咨询有限公司受</w:t>
      </w:r>
      <w:r>
        <w:rPr>
          <w:rFonts w:hint="eastAsia" w:ascii="仿宋" w:hAnsi="仿宋" w:eastAsia="仿宋" w:cs="仿宋"/>
          <w:b/>
          <w:bCs/>
          <w:sz w:val="24"/>
          <w:szCs w:val="24"/>
        </w:rPr>
        <w:t>江苏省高级人民法院</w:t>
      </w:r>
      <w:r>
        <w:rPr>
          <w:rFonts w:hint="eastAsia" w:ascii="仿宋" w:hAnsi="仿宋" w:eastAsia="仿宋" w:cs="仿宋"/>
          <w:sz w:val="24"/>
          <w:szCs w:val="24"/>
        </w:rPr>
        <w:t>的委托，决定就</w:t>
      </w:r>
      <w:r>
        <w:rPr>
          <w:rFonts w:hint="eastAsia" w:ascii="仿宋" w:hAnsi="仿宋" w:eastAsia="仿宋" w:cs="仿宋"/>
          <w:b/>
          <w:bCs/>
          <w:sz w:val="24"/>
          <w:szCs w:val="24"/>
        </w:rPr>
        <w:t>江苏省高级人民法院密评项目</w:t>
      </w:r>
      <w:r>
        <w:rPr>
          <w:rFonts w:hint="eastAsia" w:ascii="仿宋" w:hAnsi="仿宋" w:eastAsia="仿宋" w:cs="仿宋"/>
          <w:sz w:val="24"/>
          <w:szCs w:val="24"/>
        </w:rPr>
        <w:t>实施</w:t>
      </w:r>
      <w:r>
        <w:rPr>
          <w:rFonts w:hint="eastAsia" w:ascii="仿宋" w:hAnsi="仿宋" w:eastAsia="仿宋" w:cs="仿宋"/>
          <w:b/>
          <w:bCs/>
          <w:sz w:val="24"/>
          <w:szCs w:val="24"/>
        </w:rPr>
        <w:t>竞争性磋商</w:t>
      </w:r>
      <w:r>
        <w:rPr>
          <w:rFonts w:hint="eastAsia" w:ascii="仿宋" w:hAnsi="仿宋" w:eastAsia="仿宋" w:cs="仿宋"/>
          <w:sz w:val="24"/>
          <w:szCs w:val="24"/>
        </w:rPr>
        <w:t>采购，兹邀请符合条件的供应商参加磋商及报价。</w:t>
      </w:r>
    </w:p>
    <w:p w14:paraId="7438CE77">
      <w:pPr>
        <w:pBdr>
          <w:top w:val="single" w:color="auto" w:sz="4" w:space="1"/>
          <w:left w:val="single" w:color="auto" w:sz="4" w:space="0"/>
          <w:bottom w:val="single" w:color="auto" w:sz="4" w:space="1"/>
          <w:right w:val="single" w:color="auto" w:sz="4" w:space="4"/>
        </w:pBdr>
        <w:ind w:firstLine="482" w:firstLineChars="200"/>
        <w:rPr>
          <w:rFonts w:ascii="仿宋" w:hAnsi="仿宋" w:eastAsia="仿宋" w:cs="仿宋"/>
          <w:b/>
          <w:bCs/>
          <w:sz w:val="24"/>
          <w:szCs w:val="24"/>
        </w:rPr>
      </w:pPr>
      <w:r>
        <w:rPr>
          <w:rFonts w:hint="eastAsia" w:ascii="仿宋" w:hAnsi="仿宋" w:eastAsia="仿宋" w:cs="仿宋"/>
          <w:b/>
          <w:bCs/>
          <w:sz w:val="24"/>
          <w:szCs w:val="24"/>
        </w:rPr>
        <w:t>项目概况</w:t>
      </w:r>
    </w:p>
    <w:p w14:paraId="0C51284F">
      <w:pPr>
        <w:pBdr>
          <w:top w:val="single" w:color="auto" w:sz="4" w:space="1"/>
          <w:left w:val="single" w:color="auto" w:sz="4" w:space="0"/>
          <w:bottom w:val="single" w:color="auto" w:sz="4" w:space="1"/>
          <w:right w:val="single" w:color="auto" w:sz="4" w:space="4"/>
        </w:pBdr>
        <w:ind w:firstLine="482" w:firstLineChars="200"/>
        <w:rPr>
          <w:rFonts w:ascii="仿宋" w:hAnsi="仿宋" w:eastAsia="仿宋" w:cs="仿宋"/>
          <w:sz w:val="24"/>
          <w:szCs w:val="24"/>
        </w:rPr>
      </w:pPr>
      <w:r>
        <w:rPr>
          <w:rFonts w:hint="eastAsia" w:ascii="仿宋" w:hAnsi="仿宋" w:eastAsia="仿宋" w:cs="仿宋"/>
          <w:b/>
          <w:bCs/>
          <w:color w:val="000000" w:themeColor="text1"/>
          <w:sz w:val="24"/>
          <w:szCs w:val="24"/>
          <w14:textFill>
            <w14:solidFill>
              <w14:schemeClr w14:val="tx1"/>
            </w14:solidFill>
          </w14:textFill>
        </w:rPr>
        <w:t>江苏省高级人民法院密评项目</w:t>
      </w:r>
      <w:r>
        <w:rPr>
          <w:rFonts w:hint="eastAsia" w:ascii="仿宋" w:hAnsi="仿宋" w:eastAsia="仿宋" w:cs="仿宋"/>
          <w:sz w:val="24"/>
          <w:szCs w:val="24"/>
        </w:rPr>
        <w:t>的潜在供应商应在</w:t>
      </w:r>
      <w:r>
        <w:rPr>
          <w:rFonts w:hint="eastAsia" w:ascii="仿宋" w:hAnsi="仿宋" w:eastAsia="仿宋" w:cs="仿宋"/>
          <w:sz w:val="24"/>
          <w:szCs w:val="24"/>
          <w:u w:val="single"/>
        </w:rPr>
        <w:t>南京市秦淮区光华东街6号世界之窗创意产业园15幢4楼</w:t>
      </w:r>
      <w:r>
        <w:rPr>
          <w:rFonts w:hint="eastAsia" w:ascii="仿宋" w:hAnsi="仿宋" w:eastAsia="仿宋" w:cs="仿宋"/>
          <w:sz w:val="24"/>
          <w:szCs w:val="24"/>
        </w:rPr>
        <w:t>获取采购文件，</w:t>
      </w:r>
      <w:r>
        <w:rPr>
          <w:rFonts w:hint="eastAsia" w:ascii="仿宋" w:hAnsi="仿宋" w:eastAsia="仿宋" w:cs="仿宋"/>
          <w:sz w:val="24"/>
          <w:szCs w:val="24"/>
          <w:highlight w:val="none"/>
        </w:rPr>
        <w:t>并于</w:t>
      </w:r>
      <w:r>
        <w:rPr>
          <w:rFonts w:hint="eastAsia" w:ascii="仿宋" w:hAnsi="仿宋" w:eastAsia="仿宋" w:cs="仿宋"/>
          <w:sz w:val="24"/>
          <w:szCs w:val="24"/>
          <w:highlight w:val="none"/>
          <w:u w:val="single"/>
        </w:rPr>
        <w:t>2024年</w:t>
      </w:r>
      <w:r>
        <w:rPr>
          <w:rFonts w:hint="eastAsia" w:ascii="仿宋" w:hAnsi="仿宋" w:eastAsia="仿宋" w:cs="仿宋"/>
          <w:sz w:val="24"/>
          <w:szCs w:val="24"/>
          <w:highlight w:val="none"/>
          <w:u w:val="single"/>
          <w:lang w:val="en-US" w:eastAsia="zh-CN"/>
        </w:rPr>
        <w:t>08</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29</w:t>
      </w:r>
      <w:r>
        <w:rPr>
          <w:rFonts w:hint="eastAsia" w:ascii="仿宋" w:hAnsi="仿宋" w:eastAsia="仿宋" w:cs="仿宋"/>
          <w:sz w:val="24"/>
          <w:szCs w:val="24"/>
          <w:highlight w:val="none"/>
          <w:u w:val="single"/>
        </w:rPr>
        <w:t>日14点00分</w:t>
      </w:r>
      <w:r>
        <w:rPr>
          <w:rFonts w:hint="eastAsia" w:ascii="仿宋" w:hAnsi="仿宋" w:eastAsia="仿宋" w:cs="仿宋"/>
          <w:bCs/>
          <w:sz w:val="24"/>
          <w:szCs w:val="24"/>
        </w:rPr>
        <w:t>（北京时间）前提交响应文件</w:t>
      </w:r>
      <w:r>
        <w:rPr>
          <w:rFonts w:hint="eastAsia" w:ascii="仿宋" w:hAnsi="仿宋" w:eastAsia="仿宋" w:cs="仿宋"/>
          <w:sz w:val="24"/>
          <w:szCs w:val="24"/>
        </w:rPr>
        <w:t>。</w:t>
      </w:r>
    </w:p>
    <w:p w14:paraId="089A3971">
      <w:pPr>
        <w:snapToGrid w:val="0"/>
        <w:spacing w:line="360" w:lineRule="auto"/>
        <w:rPr>
          <w:rFonts w:ascii="仿宋" w:hAnsi="仿宋" w:eastAsia="仿宋" w:cs="仿宋"/>
          <w:b/>
        </w:rPr>
      </w:pPr>
    </w:p>
    <w:p w14:paraId="763E3339">
      <w:pPr>
        <w:numPr>
          <w:ilvl w:val="0"/>
          <w:numId w:val="3"/>
        </w:numPr>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项目基本概况</w:t>
      </w:r>
    </w:p>
    <w:p w14:paraId="5BE511CB">
      <w:pPr>
        <w:pStyle w:val="38"/>
        <w:numPr>
          <w:ilvl w:val="0"/>
          <w:numId w:val="4"/>
        </w:numPr>
        <w:spacing w:line="360" w:lineRule="auto"/>
        <w:ind w:firstLineChars="0"/>
        <w:rPr>
          <w:rFonts w:ascii="仿宋" w:hAnsi="仿宋" w:eastAsia="仿宋" w:cs="仿宋"/>
          <w:sz w:val="24"/>
          <w:szCs w:val="24"/>
        </w:rPr>
      </w:pPr>
      <w:r>
        <w:rPr>
          <w:rFonts w:hint="eastAsia" w:ascii="仿宋" w:hAnsi="仿宋" w:eastAsia="仿宋" w:cs="仿宋"/>
          <w:sz w:val="24"/>
          <w:szCs w:val="24"/>
        </w:rPr>
        <w:t>项目编号：NJDCX-202406120824</w:t>
      </w:r>
    </w:p>
    <w:p w14:paraId="7194C3DA">
      <w:pPr>
        <w:pStyle w:val="38"/>
        <w:numPr>
          <w:ilvl w:val="0"/>
          <w:numId w:val="4"/>
        </w:numPr>
        <w:spacing w:line="360" w:lineRule="auto"/>
        <w:ind w:firstLineChars="0"/>
        <w:rPr>
          <w:rFonts w:ascii="仿宋" w:hAnsi="仿宋" w:eastAsia="仿宋" w:cs="仿宋"/>
          <w:sz w:val="24"/>
          <w:szCs w:val="24"/>
        </w:rPr>
      </w:pPr>
      <w:r>
        <w:rPr>
          <w:rFonts w:hint="eastAsia" w:ascii="仿宋" w:hAnsi="仿宋" w:eastAsia="仿宋" w:cs="仿宋"/>
          <w:sz w:val="24"/>
          <w:szCs w:val="24"/>
        </w:rPr>
        <w:t>项目名称：江苏省高级人民法院密评项目</w:t>
      </w:r>
    </w:p>
    <w:p w14:paraId="61940FB9">
      <w:pPr>
        <w:pStyle w:val="38"/>
        <w:numPr>
          <w:ilvl w:val="0"/>
          <w:numId w:val="4"/>
        </w:numPr>
        <w:spacing w:line="360" w:lineRule="auto"/>
        <w:ind w:firstLineChars="0"/>
        <w:rPr>
          <w:rFonts w:ascii="仿宋" w:hAnsi="仿宋" w:eastAsia="仿宋" w:cs="仿宋"/>
          <w:sz w:val="24"/>
          <w:szCs w:val="24"/>
        </w:rPr>
      </w:pPr>
      <w:r>
        <w:rPr>
          <w:rFonts w:hint="eastAsia" w:ascii="仿宋" w:hAnsi="仿宋" w:eastAsia="仿宋" w:cs="仿宋"/>
          <w:sz w:val="24"/>
          <w:szCs w:val="24"/>
        </w:rPr>
        <w:t>预算金额：人民币32万元整</w:t>
      </w:r>
    </w:p>
    <w:p w14:paraId="342AAE49">
      <w:pPr>
        <w:pStyle w:val="38"/>
        <w:numPr>
          <w:ilvl w:val="0"/>
          <w:numId w:val="4"/>
        </w:numPr>
        <w:spacing w:line="360" w:lineRule="auto"/>
        <w:ind w:firstLineChars="0"/>
        <w:rPr>
          <w:rFonts w:ascii="仿宋" w:hAnsi="仿宋" w:eastAsia="仿宋" w:cs="仿宋"/>
          <w:sz w:val="24"/>
          <w:szCs w:val="24"/>
        </w:rPr>
      </w:pPr>
      <w:r>
        <w:rPr>
          <w:rFonts w:hint="eastAsia" w:ascii="仿宋" w:hAnsi="仿宋" w:eastAsia="仿宋" w:cs="仿宋"/>
          <w:sz w:val="24"/>
          <w:szCs w:val="24"/>
        </w:rPr>
        <w:t>最高限价：人民币32万元整</w:t>
      </w:r>
    </w:p>
    <w:p w14:paraId="4FB74DC7">
      <w:pPr>
        <w:pStyle w:val="38"/>
        <w:spacing w:line="360" w:lineRule="auto"/>
        <w:ind w:left="420" w:firstLine="482"/>
        <w:rPr>
          <w:rFonts w:ascii="仿宋" w:hAnsi="仿宋" w:eastAsia="仿宋" w:cs="仿宋"/>
          <w:sz w:val="24"/>
          <w:szCs w:val="24"/>
        </w:rPr>
      </w:pPr>
      <w:r>
        <w:rPr>
          <w:rFonts w:hint="eastAsia" w:ascii="仿宋" w:hAnsi="仿宋" w:eastAsia="仿宋" w:cs="仿宋"/>
          <w:b/>
          <w:bCs/>
          <w:i/>
          <w:iCs/>
          <w:sz w:val="24"/>
          <w:szCs w:val="24"/>
          <w:u w:val="single"/>
        </w:rPr>
        <w:t>最终报价超过政府采购预算和最高限价的为无效报价，按照无效响应处理。</w:t>
      </w:r>
    </w:p>
    <w:p w14:paraId="4C955F20">
      <w:pPr>
        <w:numPr>
          <w:ilvl w:val="0"/>
          <w:numId w:val="4"/>
        </w:numPr>
        <w:spacing w:line="360" w:lineRule="auto"/>
        <w:ind w:left="0" w:firstLine="420" w:firstLineChars="175"/>
        <w:rPr>
          <w:rFonts w:ascii="仿宋" w:hAnsi="仿宋" w:eastAsia="仿宋" w:cs="仿宋"/>
          <w:sz w:val="24"/>
          <w:szCs w:val="32"/>
        </w:rPr>
      </w:pPr>
      <w:r>
        <w:rPr>
          <w:rFonts w:hint="eastAsia" w:ascii="仿宋" w:hAnsi="仿宋" w:eastAsia="仿宋" w:cs="仿宋"/>
          <w:color w:val="000000" w:themeColor="text1"/>
          <w:sz w:val="24"/>
          <w:szCs w:val="24"/>
          <w14:textFill>
            <w14:solidFill>
              <w14:schemeClr w14:val="tx1"/>
            </w14:solidFill>
          </w14:textFill>
        </w:rPr>
        <w:t>采购需求（简介）：</w:t>
      </w:r>
      <w:r>
        <w:rPr>
          <w:rFonts w:hint="eastAsia" w:ascii="仿宋" w:hAnsi="仿宋" w:eastAsia="仿宋" w:cs="仿宋"/>
          <w:sz w:val="24"/>
          <w:szCs w:val="32"/>
        </w:rPr>
        <w:t>根据《中华人民共和国密码法》、《国家政务信息化项目建设管理办法》、《江苏省省级政务信息化项目建设管理办法》等要求，结合项目建设总体规划，需对江苏省高级人民法院的信息系统开展商用密码应用安全性测评，深入查找网络安全的薄弱环节和安全隐患，分析面临的风险，确保系统安全性。（详见第四章项目需求）</w:t>
      </w:r>
    </w:p>
    <w:p w14:paraId="14ADB94C">
      <w:pPr>
        <w:pStyle w:val="38"/>
        <w:spacing w:line="360" w:lineRule="auto"/>
        <w:ind w:firstLineChars="0"/>
        <w:rPr>
          <w:rFonts w:ascii="仿宋" w:hAnsi="仿宋" w:eastAsia="仿宋" w:cs="仿宋"/>
        </w:rPr>
      </w:pPr>
      <w:r>
        <w:rPr>
          <w:rFonts w:hint="eastAsia" w:ascii="仿宋" w:hAnsi="仿宋" w:eastAsia="仿宋" w:cs="仿宋"/>
          <w:sz w:val="24"/>
          <w:szCs w:val="24"/>
        </w:rPr>
        <w:t>6. 服务时间：自合同签订起1年内完成全部服务内容。</w:t>
      </w:r>
    </w:p>
    <w:p w14:paraId="5C0D27A1">
      <w:pPr>
        <w:pStyle w:val="38"/>
        <w:spacing w:line="360" w:lineRule="auto"/>
        <w:ind w:left="420" w:firstLine="0" w:firstLineChars="0"/>
        <w:rPr>
          <w:rFonts w:ascii="仿宋" w:hAnsi="仿宋" w:eastAsia="仿宋" w:cs="仿宋"/>
          <w:sz w:val="24"/>
          <w:szCs w:val="24"/>
        </w:rPr>
      </w:pPr>
      <w:r>
        <w:rPr>
          <w:rFonts w:hint="eastAsia" w:ascii="仿宋" w:hAnsi="仿宋" w:eastAsia="仿宋" w:cs="仿宋"/>
          <w:sz w:val="24"/>
          <w:szCs w:val="24"/>
        </w:rPr>
        <w:t>7. 本项目（是/否）接受联合体：</w:t>
      </w:r>
      <w:r>
        <w:rPr>
          <w:rFonts w:hint="eastAsia" w:ascii="仿宋" w:hAnsi="仿宋" w:eastAsia="仿宋" w:cs="仿宋"/>
          <w:b/>
          <w:bCs/>
          <w:sz w:val="24"/>
          <w:szCs w:val="24"/>
          <w:u w:val="single"/>
        </w:rPr>
        <w:t>不接受联合体</w:t>
      </w:r>
      <w:r>
        <w:rPr>
          <w:rFonts w:hint="eastAsia" w:ascii="仿宋" w:hAnsi="仿宋" w:eastAsia="仿宋" w:cs="仿宋"/>
          <w:sz w:val="24"/>
          <w:szCs w:val="24"/>
        </w:rPr>
        <w:t>。</w:t>
      </w:r>
    </w:p>
    <w:p w14:paraId="230E272A">
      <w:pPr>
        <w:tabs>
          <w:tab w:val="left" w:pos="7810"/>
        </w:tabs>
        <w:snapToGrid w:val="0"/>
        <w:spacing w:line="360" w:lineRule="auto"/>
        <w:ind w:firstLine="482" w:firstLineChars="200"/>
        <w:rPr>
          <w:rFonts w:ascii="仿宋" w:hAnsi="仿宋" w:eastAsia="仿宋" w:cs="仿宋"/>
          <w:sz w:val="24"/>
          <w:szCs w:val="24"/>
        </w:rPr>
      </w:pPr>
      <w:r>
        <w:rPr>
          <w:rFonts w:hint="eastAsia" w:ascii="仿宋" w:hAnsi="仿宋" w:eastAsia="仿宋" w:cs="仿宋"/>
          <w:b/>
          <w:bCs/>
          <w:sz w:val="24"/>
          <w:szCs w:val="24"/>
        </w:rPr>
        <w:t xml:space="preserve">二、申请人的资格要求 </w:t>
      </w:r>
      <w:r>
        <w:rPr>
          <w:rFonts w:hint="eastAsia" w:ascii="仿宋" w:hAnsi="仿宋" w:eastAsia="仿宋" w:cs="仿宋"/>
          <w:b/>
          <w:bCs/>
          <w:sz w:val="24"/>
          <w:szCs w:val="24"/>
        </w:rPr>
        <w:tab/>
      </w:r>
    </w:p>
    <w:p w14:paraId="2675A6C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 xml:space="preserve">（一）满足《中华人民共和国政府采购法》第二十二条规定： </w:t>
      </w:r>
    </w:p>
    <w:p w14:paraId="1B2D8051">
      <w:pPr>
        <w:snapToGrid w:val="0"/>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1、具有独立承担民事责任的能力（提供法人或者其他组织的营业执照复印件并加盖公章，或者自然人的身份证明）；</w:t>
      </w:r>
    </w:p>
    <w:p w14:paraId="5C9D5137">
      <w:pPr>
        <w:snapToGrid w:val="0"/>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2、具有良好的商业信誉和健全的财务会计制度（提供2023年度财务报告或银行出具的企业资信证明，法人或者其他组织成立未满一年的可提供近半年内任一月的资产负债和利润表）；</w:t>
      </w:r>
    </w:p>
    <w:p w14:paraId="49C658FA">
      <w:pPr>
        <w:snapToGrid w:val="0"/>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3、具有履行合同所必需的设备和专业技术能力（根据项目需求提供履行合同所必需的设备和专业技术能力的证明材料或声明函）；</w:t>
      </w:r>
    </w:p>
    <w:p w14:paraId="47F4711F">
      <w:pPr>
        <w:snapToGrid w:val="0"/>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4、有依法缴纳税收和社会保障资金的良好记录（提供参加本次采购活动前近六个月内任一月份依法缴纳税收及社会保险的凭据。依法免缴、迟缴的应提供相应文件证明）；</w:t>
      </w:r>
    </w:p>
    <w:p w14:paraId="260C4E63">
      <w:pPr>
        <w:snapToGrid w:val="0"/>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5、参加本次采购活动前3年内在经营活动中没有重大违法记录（提供参加本次采购活动前3年内在经营活动中没有重大违法记录的书面声明）；</w:t>
      </w:r>
    </w:p>
    <w:p w14:paraId="21F54E0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6.法律、行政法规规定的其他条件。</w:t>
      </w:r>
    </w:p>
    <w:p w14:paraId="58B13FCF">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（二）落实政府采购政策需满足的资格要求：</w:t>
      </w:r>
    </w:p>
    <w:p w14:paraId="5E8109DE">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本项目为非预留份额的采购项目或采购包，执行价格扣除优惠政策，给予小微型企业、监狱企业或残疾人福利性单位报价10%的扣除，用扣除后的价格参加评审。价格扣除比例对小型企业和微型企业同等对待，不作区分。监狱企业、残疾人福利单位属于小型、微型企业的，不重复享受政策。</w:t>
      </w:r>
    </w:p>
    <w:p w14:paraId="7934BF76">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本项目采购标的对应的中小企业划分标准所属行业为</w:t>
      </w:r>
      <w:r>
        <w:rPr>
          <w:rFonts w:hint="eastAsia" w:ascii="仿宋" w:hAnsi="仿宋" w:eastAsia="仿宋" w:cs="仿宋"/>
          <w:b/>
          <w:sz w:val="24"/>
        </w:rPr>
        <w:t>：软件和信息技术服务业</w:t>
      </w:r>
      <w:r>
        <w:rPr>
          <w:rFonts w:hint="eastAsia" w:ascii="仿宋" w:hAnsi="仿宋" w:eastAsia="仿宋" w:cs="仿宋"/>
          <w:bCs/>
          <w:sz w:val="24"/>
        </w:rPr>
        <w:t>。</w:t>
      </w:r>
    </w:p>
    <w:p w14:paraId="421E0143">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（三）本项目的特定资格要求：</w:t>
      </w:r>
      <w:r>
        <w:rPr>
          <w:rFonts w:hint="eastAsia" w:ascii="仿宋" w:hAnsi="仿宋" w:eastAsia="仿宋" w:cs="仿宋"/>
          <w:b/>
          <w:bCs/>
          <w:color w:val="000000" w:themeColor="text1"/>
          <w:sz w:val="24"/>
          <w:szCs w:val="24"/>
          <w14:textFill>
            <w14:solidFill>
              <w14:schemeClr w14:val="tx1"/>
            </w14:solidFill>
          </w14:textFill>
        </w:rPr>
        <w:t>供应商须为国家密码管理局《商用密码应用安全性评估试点机构目录》内的单位，提供在目录内的证明材料并加盖公章。</w:t>
      </w:r>
    </w:p>
    <w:p w14:paraId="63BE32C7">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（四）拒绝下述供应商参加本次采购活动</w:t>
      </w:r>
    </w:p>
    <w:p w14:paraId="13ADC193">
      <w:pPr>
        <w:snapToGrid w:val="0"/>
        <w:spacing w:line="360" w:lineRule="auto"/>
        <w:ind w:firstLine="480" w:firstLineChars="200"/>
        <w:rPr>
          <w:rFonts w:ascii="仿宋" w:hAnsi="仿宋" w:eastAsia="仿宋" w:cs="仿宋"/>
          <w:color w:val="000000" w:themeColor="text1"/>
          <w:sz w:val="24"/>
          <w:szCs w:val="32"/>
          <w14:textFill>
            <w14:solidFill>
              <w14:schemeClr w14:val="tx1"/>
            </w14:solidFill>
          </w14:textFill>
        </w:rPr>
      </w:pPr>
      <w:r>
        <w:rPr>
          <w:rFonts w:hint="eastAsia" w:ascii="仿宋" w:hAnsi="仿宋" w:eastAsia="仿宋" w:cs="仿宋"/>
          <w:color w:val="000000" w:themeColor="text1"/>
          <w:sz w:val="24"/>
          <w:szCs w:val="32"/>
          <w14:textFill>
            <w14:solidFill>
              <w14:schemeClr w14:val="tx1"/>
            </w14:solidFill>
          </w14:textFill>
        </w:rPr>
        <w:t>1、凡为采购项目提供整体设计、规范编制或者项目管理、监理、检测等服务的供应商，不得再参加该采购项目的其他采购活动。</w:t>
      </w:r>
    </w:p>
    <w:p w14:paraId="7ABEFD97">
      <w:pPr>
        <w:snapToGrid w:val="0"/>
        <w:spacing w:line="360" w:lineRule="auto"/>
        <w:ind w:firstLine="480" w:firstLineChars="200"/>
        <w:rPr>
          <w:rFonts w:ascii="仿宋" w:hAnsi="仿宋" w:eastAsia="仿宋" w:cs="仿宋"/>
          <w:color w:val="000000" w:themeColor="text1"/>
          <w:sz w:val="24"/>
          <w:szCs w:val="32"/>
          <w14:textFill>
            <w14:solidFill>
              <w14:schemeClr w14:val="tx1"/>
            </w14:solidFill>
          </w14:textFill>
        </w:rPr>
      </w:pPr>
      <w:r>
        <w:rPr>
          <w:rFonts w:hint="eastAsia" w:ascii="仿宋" w:hAnsi="仿宋" w:eastAsia="仿宋" w:cs="仿宋"/>
          <w:color w:val="000000" w:themeColor="text1"/>
          <w:sz w:val="24"/>
          <w:szCs w:val="32"/>
          <w14:textFill>
            <w14:solidFill>
              <w14:schemeClr w14:val="tx1"/>
            </w14:solidFill>
          </w14:textFill>
        </w:rPr>
        <w:t>2、供应商单位负责人为同一人或者存在直接控股、管理关系的不同供应商,不得参加同一合同项下的采购活动。</w:t>
      </w:r>
    </w:p>
    <w:p w14:paraId="17BA6E1D">
      <w:pPr>
        <w:spacing w:line="360" w:lineRule="auto"/>
        <w:ind w:firstLine="480"/>
        <w:rPr>
          <w:rFonts w:ascii="仿宋" w:hAnsi="仿宋" w:eastAsia="仿宋" w:cs="仿宋"/>
          <w:bCs/>
          <w:sz w:val="24"/>
        </w:rPr>
      </w:pPr>
      <w:r>
        <w:rPr>
          <w:rFonts w:hint="eastAsia" w:ascii="仿宋" w:hAnsi="仿宋" w:eastAsia="仿宋" w:cs="仿宋"/>
          <w:color w:val="000000" w:themeColor="text1"/>
          <w:sz w:val="24"/>
          <w:szCs w:val="32"/>
          <w14:textFill>
            <w14:solidFill>
              <w14:schemeClr w14:val="tx1"/>
            </w14:solidFill>
          </w14:textFill>
        </w:rPr>
        <w:t>3、在磋商截止日前被“信用中国”网站(www.creditchina.gov.cn)、中国政府采购网(www.ccgp.gov.cn) 列入失信被执行人、重大税收违法案件当事人、政府采购严重违法失信行为记录名单的供应商（提供网页截图）</w:t>
      </w:r>
      <w:r>
        <w:rPr>
          <w:rFonts w:hint="eastAsia" w:ascii="仿宋" w:hAnsi="仿宋" w:eastAsia="仿宋" w:cs="仿宋"/>
          <w:sz w:val="24"/>
          <w:szCs w:val="24"/>
        </w:rPr>
        <w:t>。</w:t>
      </w:r>
    </w:p>
    <w:p w14:paraId="05B81874">
      <w:pPr>
        <w:tabs>
          <w:tab w:val="left" w:pos="7810"/>
        </w:tabs>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三、获取采购文件</w:t>
      </w:r>
    </w:p>
    <w:p w14:paraId="107608E3">
      <w:pPr>
        <w:adjustRightInd w:val="0"/>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1.采购公告在“江苏省招标投标公共服务平台（https://www.jszbtb.com/#/newindex）”</w:t>
      </w:r>
      <w:r>
        <w:rPr>
          <w:rFonts w:hint="eastAsia" w:ascii="仿宋" w:hAnsi="仿宋" w:eastAsia="仿宋" w:cs="仿宋"/>
          <w:sz w:val="24"/>
          <w:szCs w:val="24"/>
        </w:rPr>
        <w:t>发布，</w:t>
      </w:r>
      <w:r>
        <w:rPr>
          <w:rFonts w:hint="eastAsia" w:ascii="仿宋" w:hAnsi="仿宋" w:eastAsia="仿宋" w:cs="仿宋"/>
          <w:bCs/>
          <w:sz w:val="24"/>
        </w:rPr>
        <w:t>供应商如确定参加磋商，须获取</w:t>
      </w:r>
      <w:r>
        <w:rPr>
          <w:rFonts w:hint="eastAsia" w:ascii="仿宋" w:hAnsi="仿宋" w:eastAsia="仿宋" w:cs="仿宋"/>
          <w:bCs/>
          <w:sz w:val="24"/>
          <w:szCs w:val="24"/>
        </w:rPr>
        <w:t>磋商</w:t>
      </w:r>
      <w:r>
        <w:rPr>
          <w:rFonts w:hint="eastAsia" w:ascii="仿宋" w:hAnsi="仿宋" w:eastAsia="仿宋" w:cs="仿宋"/>
          <w:bCs/>
          <w:sz w:val="24"/>
        </w:rPr>
        <w:t>文件。</w:t>
      </w:r>
    </w:p>
    <w:p w14:paraId="5BEAD988">
      <w:pPr>
        <w:snapToGrid w:val="0"/>
        <w:spacing w:line="360" w:lineRule="auto"/>
        <w:ind w:firstLine="480" w:firstLineChars="200"/>
        <w:jc w:val="left"/>
        <w:rPr>
          <w:rFonts w:ascii="仿宋" w:hAnsi="仿宋" w:eastAsia="仿宋" w:cs="仿宋"/>
          <w:bCs/>
          <w:sz w:val="24"/>
        </w:rPr>
      </w:pPr>
      <w:r>
        <w:rPr>
          <w:rFonts w:hint="eastAsia" w:ascii="仿宋" w:hAnsi="仿宋" w:eastAsia="仿宋" w:cs="仿宋"/>
          <w:sz w:val="24"/>
          <w:szCs w:val="24"/>
        </w:rPr>
        <w:t>2.获取采购文件时间</w:t>
      </w:r>
      <w:r>
        <w:rPr>
          <w:rFonts w:hint="eastAsia" w:ascii="仿宋" w:hAnsi="仿宋" w:eastAsia="仿宋" w:cs="仿宋"/>
          <w:sz w:val="24"/>
          <w:szCs w:val="24"/>
          <w:highlight w:val="none"/>
        </w:rPr>
        <w:t>：</w:t>
      </w:r>
      <w:r>
        <w:rPr>
          <w:rFonts w:hint="eastAsia" w:ascii="仿宋" w:hAnsi="仿宋" w:eastAsia="仿宋" w:cs="仿宋"/>
          <w:bCs/>
          <w:sz w:val="24"/>
          <w:highlight w:val="none"/>
        </w:rPr>
        <w:t>2024年</w:t>
      </w:r>
      <w:r>
        <w:rPr>
          <w:rFonts w:hint="eastAsia" w:ascii="仿宋" w:hAnsi="仿宋" w:eastAsia="仿宋" w:cs="仿宋"/>
          <w:bCs/>
          <w:sz w:val="24"/>
          <w:highlight w:val="none"/>
          <w:lang w:val="en-US" w:eastAsia="zh-CN"/>
        </w:rPr>
        <w:t>08</w:t>
      </w:r>
      <w:r>
        <w:rPr>
          <w:rFonts w:hint="eastAsia" w:ascii="仿宋" w:hAnsi="仿宋" w:eastAsia="仿宋" w:cs="仿宋"/>
          <w:bCs/>
          <w:sz w:val="24"/>
          <w:highlight w:val="none"/>
        </w:rPr>
        <w:t>月</w:t>
      </w:r>
      <w:r>
        <w:rPr>
          <w:rFonts w:hint="eastAsia" w:ascii="仿宋" w:hAnsi="仿宋" w:eastAsia="仿宋" w:cs="仿宋"/>
          <w:bCs/>
          <w:sz w:val="24"/>
          <w:highlight w:val="none"/>
          <w:lang w:val="en-US" w:eastAsia="zh-CN"/>
        </w:rPr>
        <w:t>15</w:t>
      </w:r>
      <w:r>
        <w:rPr>
          <w:rFonts w:hint="eastAsia" w:ascii="仿宋" w:hAnsi="仿宋" w:eastAsia="仿宋" w:cs="仿宋"/>
          <w:bCs/>
          <w:sz w:val="24"/>
          <w:highlight w:val="none"/>
        </w:rPr>
        <w:t>日起至2024年</w:t>
      </w:r>
      <w:r>
        <w:rPr>
          <w:rFonts w:hint="eastAsia" w:ascii="仿宋" w:hAnsi="仿宋" w:eastAsia="仿宋" w:cs="仿宋"/>
          <w:bCs/>
          <w:sz w:val="24"/>
          <w:highlight w:val="none"/>
          <w:lang w:val="en-US" w:eastAsia="zh-CN"/>
        </w:rPr>
        <w:t>08</w:t>
      </w:r>
      <w:r>
        <w:rPr>
          <w:rFonts w:hint="eastAsia" w:ascii="仿宋" w:hAnsi="仿宋" w:eastAsia="仿宋" w:cs="仿宋"/>
          <w:bCs/>
          <w:sz w:val="24"/>
          <w:highlight w:val="none"/>
        </w:rPr>
        <w:t>月</w:t>
      </w:r>
      <w:r>
        <w:rPr>
          <w:rFonts w:hint="eastAsia" w:ascii="仿宋" w:hAnsi="仿宋" w:eastAsia="仿宋" w:cs="仿宋"/>
          <w:bCs/>
          <w:sz w:val="24"/>
          <w:highlight w:val="none"/>
          <w:lang w:val="en-US" w:eastAsia="zh-CN"/>
        </w:rPr>
        <w:t>21</w:t>
      </w:r>
      <w:r>
        <w:rPr>
          <w:rFonts w:hint="eastAsia" w:ascii="仿宋" w:hAnsi="仿宋" w:eastAsia="仿宋" w:cs="仿宋"/>
          <w:bCs/>
          <w:sz w:val="24"/>
          <w:highlight w:val="none"/>
        </w:rPr>
        <w:t>日每天</w:t>
      </w:r>
      <w:r>
        <w:rPr>
          <w:rFonts w:hint="eastAsia" w:ascii="仿宋" w:hAnsi="仿宋" w:eastAsia="仿宋" w:cs="仿宋"/>
          <w:sz w:val="24"/>
          <w:szCs w:val="32"/>
        </w:rPr>
        <w:t>（节假日除外）北京时间</w:t>
      </w:r>
      <w:r>
        <w:rPr>
          <w:rFonts w:hint="eastAsia" w:ascii="仿宋" w:hAnsi="仿宋" w:eastAsia="仿宋" w:cs="仿宋"/>
          <w:bCs/>
          <w:sz w:val="24"/>
        </w:rPr>
        <w:t>09:00-12:00、13:30-17:30</w:t>
      </w:r>
    </w:p>
    <w:p w14:paraId="2E2E000B">
      <w:pPr>
        <w:adjustRightInd w:val="0"/>
        <w:snapToGrid w:val="0"/>
        <w:spacing w:line="360" w:lineRule="auto"/>
        <w:ind w:firstLine="480" w:firstLineChars="200"/>
        <w:rPr>
          <w:rFonts w:ascii="仿宋" w:hAnsi="仿宋" w:eastAsia="仿宋" w:cs="仿宋"/>
          <w:b/>
          <w:bCs/>
          <w:sz w:val="24"/>
          <w:szCs w:val="32"/>
        </w:rPr>
      </w:pPr>
      <w:r>
        <w:rPr>
          <w:rFonts w:hint="eastAsia" w:ascii="仿宋" w:hAnsi="仿宋" w:eastAsia="仿宋" w:cs="仿宋"/>
          <w:sz w:val="24"/>
          <w:szCs w:val="24"/>
        </w:rPr>
        <w:t>3.获取</w:t>
      </w:r>
      <w:r>
        <w:rPr>
          <w:rFonts w:hint="eastAsia" w:ascii="仿宋" w:hAnsi="仿宋" w:eastAsia="仿宋" w:cs="仿宋"/>
          <w:bCs/>
          <w:sz w:val="24"/>
        </w:rPr>
        <w:t>采购文件地点：</w:t>
      </w:r>
      <w:r>
        <w:rPr>
          <w:rFonts w:hint="eastAsia" w:ascii="仿宋" w:hAnsi="仿宋" w:eastAsia="仿宋" w:cs="仿宋"/>
          <w:spacing w:val="-6"/>
          <w:sz w:val="24"/>
          <w:szCs w:val="24"/>
        </w:rPr>
        <w:t>南京市秦淮区光华东街6号世界之窗创意产业园15幢4楼，</w:t>
      </w:r>
      <w:r>
        <w:rPr>
          <w:rFonts w:hint="eastAsia" w:ascii="仿宋" w:hAnsi="仿宋" w:eastAsia="仿宋" w:cs="仿宋"/>
          <w:bCs/>
          <w:sz w:val="24"/>
        </w:rPr>
        <w:t>南京达琛鑫工程咨询有限公司，联系电话025-52639995。</w:t>
      </w:r>
    </w:p>
    <w:p w14:paraId="73815280">
      <w:pPr>
        <w:tabs>
          <w:tab w:val="left" w:pos="7810"/>
        </w:tabs>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四、提交响应文件截止时间、开标时间和地点</w:t>
      </w:r>
    </w:p>
    <w:p w14:paraId="03777F78">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1.提交响应文件截止时间、开标</w:t>
      </w:r>
      <w:r>
        <w:rPr>
          <w:rFonts w:hint="eastAsia" w:ascii="仿宋" w:hAnsi="仿宋" w:eastAsia="仿宋" w:cs="仿宋"/>
          <w:sz w:val="24"/>
          <w:szCs w:val="24"/>
          <w:highlight w:val="none"/>
        </w:rPr>
        <w:t>时间2024年</w:t>
      </w:r>
      <w:r>
        <w:rPr>
          <w:rFonts w:hint="eastAsia" w:ascii="仿宋" w:hAnsi="仿宋" w:eastAsia="仿宋" w:cs="仿宋"/>
          <w:sz w:val="24"/>
          <w:szCs w:val="24"/>
          <w:highlight w:val="none"/>
          <w:lang w:val="en-US" w:eastAsia="zh-CN"/>
        </w:rPr>
        <w:t>08</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29</w:t>
      </w:r>
      <w:r>
        <w:rPr>
          <w:rFonts w:hint="eastAsia" w:ascii="仿宋" w:hAnsi="仿宋" w:eastAsia="仿宋" w:cs="仿宋"/>
          <w:sz w:val="24"/>
          <w:szCs w:val="24"/>
          <w:highlight w:val="none"/>
        </w:rPr>
        <w:t>日14点00分（</w:t>
      </w:r>
      <w:r>
        <w:rPr>
          <w:rFonts w:hint="eastAsia" w:ascii="仿宋" w:hAnsi="仿宋" w:eastAsia="仿宋" w:cs="仿宋"/>
          <w:sz w:val="24"/>
          <w:szCs w:val="24"/>
        </w:rPr>
        <w:t>北京时间）。</w:t>
      </w:r>
    </w:p>
    <w:p w14:paraId="13187DB0">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bCs/>
          <w:sz w:val="24"/>
        </w:rPr>
        <w:t>地点：</w:t>
      </w:r>
      <w:r>
        <w:rPr>
          <w:rFonts w:hint="eastAsia" w:ascii="仿宋" w:hAnsi="仿宋" w:eastAsia="仿宋" w:cs="仿宋"/>
          <w:spacing w:val="-6"/>
          <w:sz w:val="24"/>
          <w:szCs w:val="24"/>
        </w:rPr>
        <w:t>南京市秦淮区光华东街6号世界之窗创意产业园15幢3楼开标室</w:t>
      </w:r>
    </w:p>
    <w:p w14:paraId="38C87737">
      <w:pPr>
        <w:tabs>
          <w:tab w:val="left" w:pos="7810"/>
        </w:tabs>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五、公告期限</w:t>
      </w:r>
    </w:p>
    <w:p w14:paraId="3EAD781B">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color w:val="000000" w:themeColor="text1"/>
          <w:sz w:val="24"/>
          <w:szCs w:val="24"/>
          <w14:textFill>
            <w14:solidFill>
              <w14:schemeClr w14:val="tx1"/>
            </w14:solidFill>
          </w14:textFill>
        </w:rPr>
        <w:t>本次磋商公告期限为三个工作日</w:t>
      </w:r>
      <w:r>
        <w:rPr>
          <w:rFonts w:hint="eastAsia" w:ascii="仿宋" w:hAnsi="仿宋" w:eastAsia="仿宋" w:cs="仿宋"/>
          <w:sz w:val="24"/>
          <w:szCs w:val="24"/>
        </w:rPr>
        <w:t>。</w:t>
      </w:r>
    </w:p>
    <w:p w14:paraId="3E507FB6">
      <w:pPr>
        <w:numPr>
          <w:ilvl w:val="0"/>
          <w:numId w:val="5"/>
        </w:numPr>
        <w:tabs>
          <w:tab w:val="left" w:pos="7810"/>
        </w:tabs>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开启</w:t>
      </w:r>
    </w:p>
    <w:p w14:paraId="519FDA46">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highlight w:val="none"/>
        </w:rPr>
        <w:t>.时间：2024年</w:t>
      </w:r>
      <w:r>
        <w:rPr>
          <w:rFonts w:hint="eastAsia" w:ascii="仿宋" w:hAnsi="仿宋" w:eastAsia="仿宋" w:cs="仿宋"/>
          <w:sz w:val="24"/>
          <w:szCs w:val="24"/>
          <w:highlight w:val="none"/>
          <w:lang w:val="en-US" w:eastAsia="zh-CN"/>
        </w:rPr>
        <w:t>08</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29</w:t>
      </w:r>
      <w:r>
        <w:rPr>
          <w:rFonts w:hint="eastAsia" w:ascii="仿宋" w:hAnsi="仿宋" w:eastAsia="仿宋" w:cs="仿宋"/>
          <w:sz w:val="24"/>
          <w:szCs w:val="24"/>
          <w:highlight w:val="none"/>
        </w:rPr>
        <w:t>日下午14：00</w:t>
      </w:r>
    </w:p>
    <w:p w14:paraId="51E39F2E">
      <w:pPr>
        <w:adjustRightInd w:val="0"/>
        <w:snapToGrid w:val="0"/>
        <w:spacing w:line="360" w:lineRule="auto"/>
        <w:ind w:firstLine="480" w:firstLineChars="200"/>
        <w:rPr>
          <w:rFonts w:ascii="仿宋" w:hAnsi="仿宋" w:eastAsia="仿宋" w:cs="仿宋"/>
          <w:b/>
          <w:bCs/>
          <w:sz w:val="24"/>
          <w:szCs w:val="24"/>
        </w:rPr>
      </w:pPr>
      <w:r>
        <w:rPr>
          <w:rFonts w:hint="eastAsia" w:ascii="仿宋" w:hAnsi="仿宋" w:eastAsia="仿宋" w:cs="仿宋"/>
          <w:sz w:val="24"/>
          <w:szCs w:val="24"/>
        </w:rPr>
        <w:t>2.地点：</w:t>
      </w:r>
      <w:r>
        <w:rPr>
          <w:rFonts w:hint="eastAsia" w:ascii="仿宋" w:hAnsi="仿宋" w:eastAsia="仿宋" w:cs="仿宋"/>
          <w:spacing w:val="-6"/>
          <w:sz w:val="24"/>
          <w:szCs w:val="24"/>
        </w:rPr>
        <w:t>南京市秦淮区光华东街6号世界之窗创意产业园15幢4楼</w:t>
      </w:r>
      <w:r>
        <w:rPr>
          <w:rFonts w:hint="eastAsia" w:ascii="仿宋" w:hAnsi="仿宋" w:eastAsia="仿宋" w:cs="仿宋"/>
          <w:sz w:val="24"/>
          <w:szCs w:val="24"/>
        </w:rPr>
        <w:t>会议室</w:t>
      </w:r>
    </w:p>
    <w:p w14:paraId="1CB09AD1">
      <w:pPr>
        <w:tabs>
          <w:tab w:val="left" w:pos="7810"/>
        </w:tabs>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七、其他补充事宜</w:t>
      </w:r>
    </w:p>
    <w:p w14:paraId="20107E56">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1.本次采购不收取磋商保证金。</w:t>
      </w:r>
    </w:p>
    <w:p w14:paraId="30F3A829">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color w:val="000000" w:themeColor="text1"/>
          <w:sz w:val="24"/>
          <w:szCs w:val="24"/>
          <w14:textFill>
            <w14:solidFill>
              <w14:schemeClr w14:val="tx1"/>
            </w14:solidFill>
          </w14:textFill>
        </w:rPr>
        <w:t>请各位供应商领取本次磋商文件后，认真阅读各项内容，进行必要的准备，按照磋商文件的要求详细填写和编制响应文件，并按以上确定的时间、地点准时参加磋商活动。</w:t>
      </w:r>
      <w:r>
        <w:rPr>
          <w:rFonts w:hint="eastAsia" w:ascii="仿宋" w:hAnsi="仿宋" w:eastAsia="仿宋" w:cs="仿宋"/>
          <w:bCs/>
          <w:color w:val="000000" w:themeColor="text1"/>
          <w:sz w:val="24"/>
          <w14:textFill>
            <w14:solidFill>
              <w14:schemeClr w14:val="tx1"/>
            </w14:solidFill>
          </w14:textFill>
        </w:rPr>
        <w:t>有关本次磋商的事项若存在变动或修改，敬请及时关注“</w:t>
      </w:r>
      <w:r>
        <w:rPr>
          <w:rFonts w:hint="eastAsia" w:ascii="仿宋" w:hAnsi="仿宋" w:eastAsia="仿宋" w:cs="仿宋"/>
          <w:bCs/>
          <w:sz w:val="24"/>
        </w:rPr>
        <w:t>江苏省招标投标公共服务平台</w:t>
      </w:r>
      <w:r>
        <w:rPr>
          <w:rFonts w:hint="eastAsia" w:ascii="仿宋" w:hAnsi="仿宋" w:eastAsia="仿宋" w:cs="仿宋"/>
          <w:bCs/>
          <w:color w:val="000000" w:themeColor="text1"/>
          <w:sz w:val="24"/>
          <w14:textFill>
            <w14:solidFill>
              <w14:schemeClr w14:val="tx1"/>
            </w14:solidFill>
          </w14:textFill>
        </w:rPr>
        <w:t>”发布的信息更正公告。</w:t>
      </w:r>
    </w:p>
    <w:p w14:paraId="42CC20E4">
      <w:pPr>
        <w:adjustRightInd w:val="0"/>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八、凡对本次采购提出询问，请按以下方式联系。</w:t>
      </w:r>
    </w:p>
    <w:p w14:paraId="4D432C6C">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1.采购人信息</w:t>
      </w:r>
    </w:p>
    <w:p w14:paraId="4E13F4D7">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单位名称：江苏省高级人民法院</w:t>
      </w:r>
    </w:p>
    <w:p w14:paraId="5D0FE705">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单位地址：江苏省南京市鼓楼区宁海路75号</w:t>
      </w:r>
    </w:p>
    <w:p w14:paraId="2BF54B0D">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 xml:space="preserve">联系人：王新 </w:t>
      </w:r>
    </w:p>
    <w:p w14:paraId="4F7629A1">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联系电话：</w:t>
      </w:r>
      <w:r>
        <w:rPr>
          <w:rFonts w:hint="eastAsia" w:ascii="仿宋" w:hAnsi="仿宋" w:eastAsia="仿宋" w:cs="仿宋"/>
          <w:color w:val="000000"/>
          <w:sz w:val="24"/>
          <w:szCs w:val="24"/>
          <w:lang w:val="zh-CN"/>
        </w:rPr>
        <w:t>025-83785679</w:t>
      </w:r>
    </w:p>
    <w:p w14:paraId="787CE51C">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2.采购代理机构信息</w:t>
      </w:r>
    </w:p>
    <w:p w14:paraId="7026088D">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单位名称：南京达琛鑫工程咨询有限公司</w:t>
      </w:r>
    </w:p>
    <w:p w14:paraId="7FD2B2A5">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单位地址：南京市秦淮区光华东街6号世界之窗创意产业园15幢4楼</w:t>
      </w:r>
    </w:p>
    <w:p w14:paraId="4A135917">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 xml:space="preserve">联系人：王工 </w:t>
      </w:r>
    </w:p>
    <w:p w14:paraId="0A10338E">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电话：025-52639995转8001</w:t>
      </w:r>
    </w:p>
    <w:p w14:paraId="355FC841">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项目联系方式</w:t>
      </w:r>
    </w:p>
    <w:p w14:paraId="5E1373D8">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 xml:space="preserve">项目联系人：王工  </w:t>
      </w:r>
    </w:p>
    <w:p w14:paraId="2D9B306C">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电话：025-52639995转8001</w:t>
      </w:r>
    </w:p>
    <w:bookmarkEnd w:id="25"/>
    <w:bookmarkEnd w:id="26"/>
    <w:bookmarkEnd w:id="27"/>
    <w:p w14:paraId="182BE84B">
      <w:pPr>
        <w:spacing w:line="360" w:lineRule="auto"/>
        <w:rPr>
          <w:rFonts w:ascii="仿宋" w:hAnsi="仿宋" w:eastAsia="仿宋" w:cs="仿宋"/>
          <w:color w:val="000000"/>
          <w:sz w:val="24"/>
          <w:szCs w:val="24"/>
        </w:rPr>
      </w:pPr>
      <w:bookmarkStart w:id="28" w:name="_Toc120614211"/>
      <w:bookmarkStart w:id="29" w:name="_Toc324237146"/>
      <w:bookmarkStart w:id="30" w:name="_Toc16747"/>
      <w:bookmarkStart w:id="31" w:name="_Toc18354"/>
      <w:bookmarkStart w:id="32" w:name="_Toc3756"/>
      <w:bookmarkStart w:id="33" w:name="_Toc15218"/>
      <w:bookmarkStart w:id="34" w:name="_Toc25170480"/>
      <w:bookmarkStart w:id="35" w:name="_Toc18049"/>
      <w:bookmarkStart w:id="36" w:name="_Toc513029209"/>
      <w:bookmarkStart w:id="37" w:name="_Toc61149549"/>
      <w:bookmarkStart w:id="38" w:name="_Toc14577347"/>
      <w:bookmarkStart w:id="39" w:name="_Toc479757207"/>
      <w:bookmarkStart w:id="40" w:name="_Toc20823314"/>
      <w:bookmarkStart w:id="41" w:name="_Toc513029242"/>
      <w:bookmarkStart w:id="42" w:name="_Toc120614221"/>
      <w:bookmarkStart w:id="43" w:name="_Toc324237147"/>
      <w:bookmarkStart w:id="44" w:name="_Toc16938558"/>
    </w:p>
    <w:bookmarkEnd w:id="28"/>
    <w:bookmarkEnd w:id="29"/>
    <w:bookmarkEnd w:id="30"/>
    <w:p w14:paraId="36C0E2D3">
      <w:pPr>
        <w:pStyle w:val="29"/>
        <w:pageBreakBefore/>
        <w:spacing w:after="312" w:line="360" w:lineRule="auto"/>
        <w:rPr>
          <w:rFonts w:ascii="仿宋" w:hAnsi="仿宋" w:eastAsia="仿宋" w:cs="仿宋"/>
          <w:color w:val="000000"/>
          <w:sz w:val="40"/>
        </w:rPr>
      </w:pPr>
      <w:bookmarkStart w:id="45" w:name="_Toc3742"/>
      <w:bookmarkStart w:id="46" w:name="_Toc26106"/>
      <w:bookmarkStart w:id="47" w:name="_Toc12906"/>
      <w:bookmarkStart w:id="48" w:name="_Toc12392"/>
      <w:r>
        <w:rPr>
          <w:rFonts w:hint="eastAsia" w:ascii="仿宋" w:hAnsi="仿宋" w:eastAsia="仿宋" w:cs="仿宋"/>
          <w:color w:val="000000"/>
          <w:sz w:val="40"/>
        </w:rPr>
        <w:t>第二章  磋商须知</w:t>
      </w:r>
      <w:bookmarkEnd w:id="31"/>
      <w:bookmarkEnd w:id="32"/>
      <w:bookmarkEnd w:id="33"/>
      <w:bookmarkEnd w:id="34"/>
      <w:bookmarkEnd w:id="35"/>
      <w:bookmarkEnd w:id="45"/>
      <w:bookmarkEnd w:id="46"/>
      <w:bookmarkEnd w:id="47"/>
      <w:bookmarkEnd w:id="48"/>
    </w:p>
    <w:p w14:paraId="722281F1">
      <w:pPr>
        <w:snapToGrid w:val="0"/>
        <w:spacing w:line="360" w:lineRule="auto"/>
        <w:jc w:val="center"/>
        <w:rPr>
          <w:rFonts w:ascii="仿宋" w:hAnsi="仿宋" w:eastAsia="仿宋" w:cs="仿宋"/>
          <w:bCs/>
          <w:sz w:val="24"/>
        </w:rPr>
      </w:pPr>
      <w:r>
        <w:rPr>
          <w:rFonts w:hint="eastAsia" w:ascii="仿宋" w:hAnsi="仿宋" w:eastAsia="仿宋" w:cs="仿宋"/>
          <w:b/>
          <w:bCs/>
          <w:sz w:val="24"/>
          <w:szCs w:val="24"/>
        </w:rPr>
        <w:t>供应商须知前附表</w:t>
      </w:r>
    </w:p>
    <w:tbl>
      <w:tblPr>
        <w:tblStyle w:val="20"/>
        <w:tblW w:w="9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241"/>
        <w:gridCol w:w="7415"/>
      </w:tblGrid>
      <w:tr w14:paraId="055E7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732" w:type="dxa"/>
            <w:vAlign w:val="center"/>
          </w:tcPr>
          <w:p w14:paraId="3E84F2FB">
            <w:pPr>
              <w:snapToGrid w:val="0"/>
              <w:spacing w:line="0" w:lineRule="atLeast"/>
              <w:jc w:val="center"/>
              <w:rPr>
                <w:rFonts w:ascii="仿宋" w:hAnsi="仿宋" w:eastAsia="仿宋" w:cs="仿宋"/>
                <w:b/>
                <w:bCs/>
                <w:sz w:val="24"/>
                <w:szCs w:val="24"/>
              </w:rPr>
            </w:pPr>
            <w:r>
              <w:rPr>
                <w:rFonts w:hint="eastAsia" w:ascii="仿宋" w:hAnsi="仿宋" w:eastAsia="仿宋" w:cs="仿宋"/>
                <w:b/>
                <w:bCs/>
                <w:sz w:val="24"/>
                <w:szCs w:val="24"/>
              </w:rPr>
              <w:t>序号</w:t>
            </w:r>
          </w:p>
        </w:tc>
        <w:tc>
          <w:tcPr>
            <w:tcW w:w="1241" w:type="dxa"/>
            <w:vAlign w:val="center"/>
          </w:tcPr>
          <w:p w14:paraId="7ED56CF4">
            <w:pPr>
              <w:snapToGrid w:val="0"/>
              <w:spacing w:line="0" w:lineRule="atLeast"/>
              <w:jc w:val="center"/>
              <w:rPr>
                <w:rFonts w:ascii="仿宋" w:hAnsi="仿宋" w:eastAsia="仿宋" w:cs="仿宋"/>
                <w:b/>
                <w:bCs/>
                <w:sz w:val="24"/>
                <w:szCs w:val="24"/>
              </w:rPr>
            </w:pPr>
            <w:r>
              <w:rPr>
                <w:rFonts w:hint="eastAsia" w:ascii="仿宋" w:hAnsi="仿宋" w:eastAsia="仿宋" w:cs="仿宋"/>
                <w:b/>
                <w:bCs/>
                <w:sz w:val="24"/>
                <w:szCs w:val="24"/>
              </w:rPr>
              <w:t>项目</w:t>
            </w:r>
          </w:p>
        </w:tc>
        <w:tc>
          <w:tcPr>
            <w:tcW w:w="7415" w:type="dxa"/>
            <w:vAlign w:val="center"/>
          </w:tcPr>
          <w:p w14:paraId="21E916FB">
            <w:pPr>
              <w:snapToGrid w:val="0"/>
              <w:spacing w:line="0" w:lineRule="atLeast"/>
              <w:jc w:val="center"/>
              <w:rPr>
                <w:rFonts w:ascii="仿宋" w:hAnsi="仿宋" w:eastAsia="仿宋" w:cs="仿宋"/>
                <w:b/>
                <w:bCs/>
                <w:sz w:val="24"/>
                <w:szCs w:val="24"/>
              </w:rPr>
            </w:pPr>
            <w:r>
              <w:rPr>
                <w:rFonts w:hint="eastAsia" w:ascii="仿宋" w:hAnsi="仿宋" w:eastAsia="仿宋" w:cs="仿宋"/>
                <w:b/>
                <w:bCs/>
                <w:sz w:val="24"/>
                <w:szCs w:val="24"/>
              </w:rPr>
              <w:t>具体内容</w:t>
            </w:r>
          </w:p>
        </w:tc>
      </w:tr>
      <w:tr w14:paraId="35E54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32" w:type="dxa"/>
            <w:vAlign w:val="center"/>
          </w:tcPr>
          <w:p w14:paraId="5DE78B34">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1</w:t>
            </w:r>
          </w:p>
        </w:tc>
        <w:tc>
          <w:tcPr>
            <w:tcW w:w="1241" w:type="dxa"/>
            <w:vAlign w:val="center"/>
          </w:tcPr>
          <w:p w14:paraId="4644314B">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项目名称</w:t>
            </w:r>
          </w:p>
        </w:tc>
        <w:tc>
          <w:tcPr>
            <w:tcW w:w="7415" w:type="dxa"/>
            <w:vAlign w:val="center"/>
          </w:tcPr>
          <w:p w14:paraId="77DB1D8F">
            <w:pPr>
              <w:snapToGrid w:val="0"/>
              <w:spacing w:line="0" w:lineRule="atLeast"/>
              <w:rPr>
                <w:rFonts w:ascii="仿宋" w:hAnsi="仿宋" w:eastAsia="仿宋" w:cs="仿宋"/>
                <w:sz w:val="24"/>
                <w:szCs w:val="24"/>
              </w:rPr>
            </w:pPr>
            <w:r>
              <w:rPr>
                <w:rFonts w:hint="eastAsia" w:ascii="仿宋" w:hAnsi="仿宋" w:eastAsia="仿宋" w:cs="仿宋"/>
                <w:sz w:val="24"/>
                <w:szCs w:val="24"/>
              </w:rPr>
              <w:t>江苏省高级人民法院密评项目</w:t>
            </w:r>
          </w:p>
        </w:tc>
      </w:tr>
      <w:tr w14:paraId="642CE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32" w:type="dxa"/>
            <w:vAlign w:val="center"/>
          </w:tcPr>
          <w:p w14:paraId="15A3DBA0">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2</w:t>
            </w:r>
          </w:p>
        </w:tc>
        <w:tc>
          <w:tcPr>
            <w:tcW w:w="1241" w:type="dxa"/>
            <w:vAlign w:val="center"/>
          </w:tcPr>
          <w:p w14:paraId="4A49C15B">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采购方式</w:t>
            </w:r>
          </w:p>
        </w:tc>
        <w:tc>
          <w:tcPr>
            <w:tcW w:w="7415" w:type="dxa"/>
            <w:vAlign w:val="center"/>
          </w:tcPr>
          <w:p w14:paraId="6A7845C3">
            <w:pPr>
              <w:snapToGrid w:val="0"/>
              <w:spacing w:line="0" w:lineRule="atLeast"/>
              <w:rPr>
                <w:rFonts w:ascii="仿宋" w:hAnsi="仿宋" w:eastAsia="仿宋" w:cs="仿宋"/>
                <w:sz w:val="24"/>
                <w:szCs w:val="24"/>
              </w:rPr>
            </w:pPr>
            <w:r>
              <w:rPr>
                <w:rFonts w:hint="eastAsia" w:ascii="仿宋" w:hAnsi="仿宋" w:eastAsia="仿宋" w:cs="仿宋"/>
                <w:sz w:val="24"/>
                <w:szCs w:val="24"/>
              </w:rPr>
              <w:t>竞争性磋商</w:t>
            </w:r>
          </w:p>
        </w:tc>
      </w:tr>
      <w:tr w14:paraId="28CA6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32" w:type="dxa"/>
            <w:vAlign w:val="center"/>
          </w:tcPr>
          <w:p w14:paraId="6A4EC6D4">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3</w:t>
            </w:r>
          </w:p>
        </w:tc>
        <w:tc>
          <w:tcPr>
            <w:tcW w:w="1241" w:type="dxa"/>
            <w:vAlign w:val="center"/>
          </w:tcPr>
          <w:p w14:paraId="6135BEA9">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采购编号</w:t>
            </w:r>
          </w:p>
        </w:tc>
        <w:tc>
          <w:tcPr>
            <w:tcW w:w="7415" w:type="dxa"/>
            <w:vAlign w:val="center"/>
          </w:tcPr>
          <w:p w14:paraId="10AFB708">
            <w:pPr>
              <w:snapToGrid w:val="0"/>
              <w:spacing w:line="0" w:lineRule="atLeast"/>
              <w:rPr>
                <w:rFonts w:ascii="仿宋" w:hAnsi="仿宋" w:eastAsia="仿宋" w:cs="仿宋"/>
                <w:sz w:val="24"/>
                <w:szCs w:val="24"/>
              </w:rPr>
            </w:pPr>
            <w:r>
              <w:rPr>
                <w:rFonts w:hint="eastAsia" w:ascii="仿宋" w:hAnsi="仿宋" w:eastAsia="仿宋" w:cs="仿宋"/>
                <w:sz w:val="24"/>
                <w:szCs w:val="24"/>
              </w:rPr>
              <w:t>NJDCX-202406120824</w:t>
            </w:r>
          </w:p>
        </w:tc>
      </w:tr>
      <w:tr w14:paraId="5B79F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732" w:type="dxa"/>
            <w:vAlign w:val="center"/>
          </w:tcPr>
          <w:p w14:paraId="51AB93D7">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4</w:t>
            </w:r>
          </w:p>
        </w:tc>
        <w:tc>
          <w:tcPr>
            <w:tcW w:w="1241" w:type="dxa"/>
            <w:vAlign w:val="center"/>
          </w:tcPr>
          <w:p w14:paraId="0CBBBB88">
            <w:pPr>
              <w:snapToGrid w:val="0"/>
              <w:spacing w:line="0" w:lineRule="atLeast"/>
              <w:ind w:right="102"/>
              <w:jc w:val="center"/>
              <w:rPr>
                <w:rFonts w:ascii="仿宋" w:hAnsi="仿宋" w:eastAsia="仿宋" w:cs="仿宋"/>
                <w:sz w:val="24"/>
                <w:szCs w:val="24"/>
              </w:rPr>
            </w:pPr>
            <w:r>
              <w:rPr>
                <w:rFonts w:hint="eastAsia" w:ascii="仿宋" w:hAnsi="仿宋" w:eastAsia="仿宋" w:cs="仿宋"/>
                <w:sz w:val="24"/>
                <w:szCs w:val="24"/>
              </w:rPr>
              <w:t>分包</w:t>
            </w:r>
          </w:p>
        </w:tc>
        <w:tc>
          <w:tcPr>
            <w:tcW w:w="7415" w:type="dxa"/>
            <w:vAlign w:val="center"/>
          </w:tcPr>
          <w:p w14:paraId="4D2D18E9">
            <w:pPr>
              <w:snapToGrid w:val="0"/>
              <w:spacing w:line="0" w:lineRule="atLeast"/>
              <w:rPr>
                <w:rFonts w:ascii="仿宋" w:hAnsi="仿宋" w:eastAsia="仿宋" w:cs="仿宋"/>
                <w:sz w:val="24"/>
                <w:szCs w:val="24"/>
              </w:rPr>
            </w:pPr>
            <w:r>
              <w:rPr>
                <w:rFonts w:hint="eastAsia" w:ascii="仿宋" w:hAnsi="仿宋" w:eastAsia="仿宋" w:cs="仿宋"/>
                <w:sz w:val="24"/>
                <w:szCs w:val="24"/>
              </w:rPr>
              <w:t>无</w:t>
            </w:r>
          </w:p>
        </w:tc>
      </w:tr>
      <w:tr w14:paraId="62E0E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32" w:type="dxa"/>
            <w:vAlign w:val="center"/>
          </w:tcPr>
          <w:p w14:paraId="4F709003">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5</w:t>
            </w:r>
          </w:p>
        </w:tc>
        <w:tc>
          <w:tcPr>
            <w:tcW w:w="1241" w:type="dxa"/>
            <w:vAlign w:val="center"/>
          </w:tcPr>
          <w:p w14:paraId="5C70F503">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公告发布媒体</w:t>
            </w:r>
          </w:p>
        </w:tc>
        <w:tc>
          <w:tcPr>
            <w:tcW w:w="7415" w:type="dxa"/>
            <w:vAlign w:val="center"/>
          </w:tcPr>
          <w:p w14:paraId="30DAA5E7">
            <w:pPr>
              <w:snapToGrid w:val="0"/>
              <w:spacing w:line="0" w:lineRule="atLeast"/>
              <w:rPr>
                <w:rFonts w:ascii="仿宋" w:hAnsi="仿宋" w:eastAsia="仿宋" w:cs="仿宋"/>
                <w:sz w:val="24"/>
                <w:szCs w:val="24"/>
              </w:rPr>
            </w:pPr>
            <w:r>
              <w:rPr>
                <w:rFonts w:hint="eastAsia" w:ascii="仿宋" w:hAnsi="仿宋" w:eastAsia="仿宋" w:cs="仿宋"/>
                <w:bCs/>
                <w:sz w:val="24"/>
              </w:rPr>
              <w:t>江苏省招标投标公共服务平台</w:t>
            </w:r>
          </w:p>
        </w:tc>
      </w:tr>
      <w:tr w14:paraId="31E44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32" w:type="dxa"/>
            <w:vAlign w:val="center"/>
          </w:tcPr>
          <w:p w14:paraId="0E0EA456">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6</w:t>
            </w:r>
          </w:p>
        </w:tc>
        <w:tc>
          <w:tcPr>
            <w:tcW w:w="1241" w:type="dxa"/>
            <w:vAlign w:val="center"/>
          </w:tcPr>
          <w:p w14:paraId="29E1B1E5">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采购预算及资金来源</w:t>
            </w:r>
          </w:p>
        </w:tc>
        <w:tc>
          <w:tcPr>
            <w:tcW w:w="7415" w:type="dxa"/>
            <w:vAlign w:val="center"/>
          </w:tcPr>
          <w:p w14:paraId="1F2601EA">
            <w:pPr>
              <w:snapToGrid w:val="0"/>
              <w:spacing w:line="0" w:lineRule="atLeast"/>
              <w:rPr>
                <w:rFonts w:ascii="仿宋" w:hAnsi="仿宋" w:eastAsia="仿宋" w:cs="仿宋"/>
                <w:b/>
                <w:bCs/>
                <w:sz w:val="24"/>
                <w:szCs w:val="24"/>
              </w:rPr>
            </w:pPr>
            <w:r>
              <w:rPr>
                <w:rFonts w:hint="eastAsia" w:ascii="仿宋" w:hAnsi="仿宋" w:eastAsia="仿宋" w:cs="仿宋"/>
                <w:sz w:val="24"/>
                <w:szCs w:val="24"/>
              </w:rPr>
              <w:t>项目预算及最高限价：人民币32万元整，</w:t>
            </w:r>
            <w:r>
              <w:rPr>
                <w:rFonts w:hint="eastAsia" w:ascii="仿宋" w:hAnsi="仿宋" w:eastAsia="仿宋" w:cs="仿宋"/>
                <w:b/>
                <w:bCs/>
                <w:sz w:val="24"/>
                <w:szCs w:val="24"/>
              </w:rPr>
              <w:t>最终报价超过政府采购预算及最高限价金额将作无效响应处理。</w:t>
            </w:r>
          </w:p>
          <w:p w14:paraId="17F565D4">
            <w:pPr>
              <w:snapToGrid w:val="0"/>
              <w:spacing w:line="0" w:lineRule="atLeast"/>
              <w:rPr>
                <w:rFonts w:ascii="仿宋" w:hAnsi="仿宋" w:eastAsia="仿宋" w:cs="仿宋"/>
                <w:sz w:val="24"/>
                <w:szCs w:val="24"/>
              </w:rPr>
            </w:pPr>
            <w:r>
              <w:rPr>
                <w:rFonts w:hint="eastAsia" w:ascii="仿宋" w:hAnsi="仿宋" w:eastAsia="仿宋" w:cs="仿宋"/>
                <w:b/>
                <w:bCs/>
                <w:sz w:val="24"/>
                <w:szCs w:val="24"/>
              </w:rPr>
              <w:t>资金来源：</w:t>
            </w:r>
            <w:r>
              <w:rPr>
                <w:rFonts w:hint="eastAsia" w:ascii="仿宋" w:hAnsi="仿宋" w:eastAsia="仿宋" w:cs="仿宋"/>
                <w:sz w:val="24"/>
                <w:szCs w:val="24"/>
              </w:rPr>
              <w:t>财政资金</w:t>
            </w:r>
          </w:p>
        </w:tc>
      </w:tr>
      <w:tr w14:paraId="179F6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32" w:type="dxa"/>
            <w:vAlign w:val="center"/>
          </w:tcPr>
          <w:p w14:paraId="416059B5">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7</w:t>
            </w:r>
          </w:p>
        </w:tc>
        <w:tc>
          <w:tcPr>
            <w:tcW w:w="1241" w:type="dxa"/>
            <w:vAlign w:val="center"/>
          </w:tcPr>
          <w:p w14:paraId="6D438F16">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标的所属行业</w:t>
            </w:r>
          </w:p>
        </w:tc>
        <w:tc>
          <w:tcPr>
            <w:tcW w:w="7415" w:type="dxa"/>
            <w:vAlign w:val="center"/>
          </w:tcPr>
          <w:p w14:paraId="06E3B518">
            <w:pPr>
              <w:snapToGrid w:val="0"/>
              <w:spacing w:line="0" w:lineRule="atLeast"/>
              <w:rPr>
                <w:rFonts w:ascii="仿宋" w:hAnsi="仿宋" w:eastAsia="仿宋" w:cs="仿宋"/>
                <w:sz w:val="24"/>
                <w:szCs w:val="24"/>
              </w:rPr>
            </w:pPr>
            <w:r>
              <w:rPr>
                <w:rFonts w:hint="eastAsia" w:ascii="仿宋" w:hAnsi="仿宋" w:eastAsia="仿宋" w:cs="仿宋"/>
                <w:sz w:val="24"/>
                <w:szCs w:val="24"/>
              </w:rPr>
              <w:t>本项目采购标的对应的中小企业划分标准所属行业为：</w:t>
            </w:r>
            <w:r>
              <w:rPr>
                <w:rFonts w:hint="eastAsia" w:ascii="仿宋" w:hAnsi="仿宋" w:eastAsia="仿宋" w:cs="仿宋"/>
                <w:b/>
                <w:bCs/>
                <w:sz w:val="24"/>
                <w:szCs w:val="24"/>
              </w:rPr>
              <w:t>软件和信息技术服务业。</w:t>
            </w:r>
          </w:p>
        </w:tc>
      </w:tr>
      <w:tr w14:paraId="4C563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32" w:type="dxa"/>
            <w:vAlign w:val="center"/>
          </w:tcPr>
          <w:p w14:paraId="47F36A8E">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8</w:t>
            </w:r>
          </w:p>
        </w:tc>
        <w:tc>
          <w:tcPr>
            <w:tcW w:w="1241" w:type="dxa"/>
            <w:vAlign w:val="center"/>
          </w:tcPr>
          <w:p w14:paraId="457E8BC3">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代理机构</w:t>
            </w:r>
          </w:p>
        </w:tc>
        <w:tc>
          <w:tcPr>
            <w:tcW w:w="7415" w:type="dxa"/>
            <w:vAlign w:val="center"/>
          </w:tcPr>
          <w:p w14:paraId="33CAED5A">
            <w:pPr>
              <w:snapToGrid w:val="0"/>
              <w:spacing w:line="0" w:lineRule="atLeast"/>
              <w:rPr>
                <w:rFonts w:ascii="仿宋" w:hAnsi="仿宋" w:eastAsia="仿宋" w:cs="仿宋"/>
                <w:sz w:val="24"/>
                <w:szCs w:val="24"/>
              </w:rPr>
            </w:pPr>
            <w:r>
              <w:rPr>
                <w:rFonts w:hint="eastAsia" w:ascii="仿宋" w:hAnsi="仿宋" w:eastAsia="仿宋" w:cs="仿宋"/>
                <w:sz w:val="24"/>
                <w:szCs w:val="24"/>
              </w:rPr>
              <w:t>南京达琛鑫工程咨询有限公司</w:t>
            </w:r>
          </w:p>
          <w:p w14:paraId="67761DFC">
            <w:pPr>
              <w:snapToGrid w:val="0"/>
              <w:spacing w:line="0" w:lineRule="atLeast"/>
              <w:rPr>
                <w:rFonts w:ascii="仿宋" w:hAnsi="仿宋" w:eastAsia="仿宋" w:cs="仿宋"/>
                <w:sz w:val="24"/>
                <w:szCs w:val="24"/>
              </w:rPr>
            </w:pPr>
            <w:r>
              <w:rPr>
                <w:rFonts w:hint="eastAsia" w:ascii="仿宋" w:hAnsi="仿宋" w:eastAsia="仿宋" w:cs="仿宋"/>
                <w:sz w:val="24"/>
                <w:szCs w:val="24"/>
              </w:rPr>
              <w:t xml:space="preserve">联系人：王工       </w:t>
            </w:r>
          </w:p>
          <w:p w14:paraId="6357D8C1">
            <w:pPr>
              <w:snapToGrid w:val="0"/>
              <w:spacing w:line="0" w:lineRule="atLeast"/>
              <w:rPr>
                <w:rFonts w:ascii="仿宋" w:hAnsi="仿宋" w:eastAsia="仿宋" w:cs="仿宋"/>
                <w:sz w:val="24"/>
                <w:szCs w:val="24"/>
              </w:rPr>
            </w:pPr>
            <w:r>
              <w:rPr>
                <w:rFonts w:hint="eastAsia" w:ascii="仿宋" w:hAnsi="仿宋" w:eastAsia="仿宋" w:cs="仿宋"/>
                <w:sz w:val="24"/>
                <w:szCs w:val="24"/>
              </w:rPr>
              <w:t>电话：025-52639995(转8001)</w:t>
            </w:r>
          </w:p>
          <w:p w14:paraId="7F8F792E">
            <w:pPr>
              <w:snapToGrid w:val="0"/>
              <w:spacing w:line="0" w:lineRule="atLeast"/>
              <w:rPr>
                <w:rFonts w:ascii="仿宋" w:hAnsi="仿宋" w:eastAsia="仿宋" w:cs="仿宋"/>
                <w:sz w:val="24"/>
                <w:szCs w:val="24"/>
              </w:rPr>
            </w:pPr>
            <w:r>
              <w:rPr>
                <w:rFonts w:hint="eastAsia" w:ascii="仿宋" w:hAnsi="仿宋" w:eastAsia="仿宋" w:cs="仿宋"/>
                <w:sz w:val="24"/>
                <w:szCs w:val="24"/>
              </w:rPr>
              <w:t>地址：南京市秦淮区光华东街6号世界之窗创意产业园15幢4楼</w:t>
            </w:r>
          </w:p>
        </w:tc>
      </w:tr>
      <w:tr w14:paraId="45142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32" w:type="dxa"/>
            <w:vAlign w:val="center"/>
          </w:tcPr>
          <w:p w14:paraId="70AFB873">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9</w:t>
            </w:r>
          </w:p>
        </w:tc>
        <w:tc>
          <w:tcPr>
            <w:tcW w:w="1241" w:type="dxa"/>
            <w:vAlign w:val="center"/>
          </w:tcPr>
          <w:p w14:paraId="76E2B3D7">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采购人</w:t>
            </w:r>
          </w:p>
        </w:tc>
        <w:tc>
          <w:tcPr>
            <w:tcW w:w="7415" w:type="dxa"/>
            <w:vAlign w:val="center"/>
          </w:tcPr>
          <w:p w14:paraId="6A2EE2B0">
            <w:pPr>
              <w:snapToGrid w:val="0"/>
              <w:spacing w:line="0" w:lineRule="atLeast"/>
              <w:rPr>
                <w:rFonts w:ascii="仿宋" w:hAnsi="仿宋" w:eastAsia="仿宋" w:cs="仿宋"/>
                <w:sz w:val="24"/>
                <w:szCs w:val="24"/>
              </w:rPr>
            </w:pPr>
            <w:r>
              <w:rPr>
                <w:rFonts w:hint="eastAsia" w:ascii="仿宋" w:hAnsi="仿宋" w:eastAsia="仿宋" w:cs="仿宋"/>
                <w:sz w:val="24"/>
                <w:szCs w:val="24"/>
              </w:rPr>
              <w:t>江苏省高级人民法院</w:t>
            </w:r>
          </w:p>
          <w:p w14:paraId="2238099A">
            <w:pPr>
              <w:snapToGrid w:val="0"/>
              <w:spacing w:line="0" w:lineRule="atLeast"/>
              <w:rPr>
                <w:rFonts w:ascii="仿宋" w:hAnsi="仿宋" w:eastAsia="仿宋" w:cs="仿宋"/>
                <w:sz w:val="24"/>
                <w:szCs w:val="24"/>
              </w:rPr>
            </w:pPr>
            <w:r>
              <w:rPr>
                <w:rFonts w:hint="eastAsia" w:ascii="仿宋" w:hAnsi="仿宋" w:eastAsia="仿宋" w:cs="仿宋"/>
                <w:sz w:val="24"/>
                <w:szCs w:val="24"/>
              </w:rPr>
              <w:t xml:space="preserve">联系人：王新 </w:t>
            </w:r>
          </w:p>
          <w:p w14:paraId="2AEA4F52">
            <w:pPr>
              <w:snapToGrid w:val="0"/>
              <w:spacing w:line="0" w:lineRule="atLeast"/>
              <w:rPr>
                <w:rFonts w:ascii="仿宋" w:hAnsi="仿宋" w:eastAsia="仿宋" w:cs="仿宋"/>
                <w:sz w:val="24"/>
                <w:szCs w:val="24"/>
              </w:rPr>
            </w:pPr>
            <w:r>
              <w:rPr>
                <w:rFonts w:hint="eastAsia" w:ascii="仿宋" w:hAnsi="仿宋" w:eastAsia="仿宋" w:cs="仿宋"/>
                <w:sz w:val="24"/>
                <w:szCs w:val="24"/>
              </w:rPr>
              <w:t>联系电话：</w:t>
            </w:r>
            <w:r>
              <w:rPr>
                <w:rFonts w:hint="eastAsia" w:ascii="仿宋" w:hAnsi="仿宋" w:eastAsia="仿宋" w:cs="仿宋"/>
                <w:sz w:val="24"/>
                <w:szCs w:val="24"/>
                <w:lang w:val="zh-CN"/>
              </w:rPr>
              <w:t>025-83785679</w:t>
            </w:r>
          </w:p>
          <w:p w14:paraId="3BB7A7CE">
            <w:pPr>
              <w:snapToGrid w:val="0"/>
              <w:spacing w:line="0" w:lineRule="atLeast"/>
              <w:rPr>
                <w:rFonts w:ascii="仿宋" w:hAnsi="仿宋" w:eastAsia="仿宋" w:cs="仿宋"/>
                <w:sz w:val="24"/>
                <w:szCs w:val="24"/>
              </w:rPr>
            </w:pPr>
            <w:r>
              <w:rPr>
                <w:rFonts w:hint="eastAsia" w:ascii="仿宋" w:hAnsi="仿宋" w:eastAsia="仿宋" w:cs="仿宋"/>
                <w:sz w:val="24"/>
                <w:szCs w:val="24"/>
              </w:rPr>
              <w:t>地址：江苏省南京市鼓楼区宁海路75号</w:t>
            </w:r>
          </w:p>
        </w:tc>
      </w:tr>
      <w:tr w14:paraId="5BC95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732" w:type="dxa"/>
            <w:vAlign w:val="center"/>
          </w:tcPr>
          <w:p w14:paraId="305208A6">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10</w:t>
            </w:r>
          </w:p>
        </w:tc>
        <w:tc>
          <w:tcPr>
            <w:tcW w:w="1241" w:type="dxa"/>
            <w:vAlign w:val="center"/>
          </w:tcPr>
          <w:p w14:paraId="22DE9954">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磋商</w:t>
            </w:r>
          </w:p>
          <w:p w14:paraId="4EA7CCD2">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保证金</w:t>
            </w:r>
          </w:p>
        </w:tc>
        <w:tc>
          <w:tcPr>
            <w:tcW w:w="7415" w:type="dxa"/>
            <w:vAlign w:val="center"/>
          </w:tcPr>
          <w:p w14:paraId="36091231">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本项目不收取磋商保证金。</w:t>
            </w:r>
          </w:p>
        </w:tc>
      </w:tr>
      <w:tr w14:paraId="10B7B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8" w:hRule="atLeast"/>
          <w:jc w:val="center"/>
        </w:trPr>
        <w:tc>
          <w:tcPr>
            <w:tcW w:w="732" w:type="dxa"/>
            <w:vAlign w:val="center"/>
          </w:tcPr>
          <w:p w14:paraId="41457375">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11</w:t>
            </w:r>
          </w:p>
        </w:tc>
        <w:tc>
          <w:tcPr>
            <w:tcW w:w="1241" w:type="dxa"/>
            <w:vAlign w:val="center"/>
          </w:tcPr>
          <w:p w14:paraId="3A15A182">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代理</w:t>
            </w:r>
          </w:p>
          <w:p w14:paraId="170353ED">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服务费</w:t>
            </w:r>
          </w:p>
        </w:tc>
        <w:tc>
          <w:tcPr>
            <w:tcW w:w="7415" w:type="dxa"/>
            <w:vAlign w:val="center"/>
          </w:tcPr>
          <w:p w14:paraId="5CD9BED3">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本次采购代理服务费的收取按照苏招协（[2022]002号）《江苏省招标代理服务收费的指导意见》规定的费率直接计算（最低收费基数3500元），由成交供应商领取《成交通知书》时向采购代理机构缴纳。根据财库〔2018〕2号《政府招标代理机构管理暂行办法》第十五条之规定，凭《成交通知书》与采购人签订合同。</w:t>
            </w:r>
          </w:p>
        </w:tc>
      </w:tr>
      <w:tr w14:paraId="5638E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32" w:type="dxa"/>
            <w:vAlign w:val="center"/>
          </w:tcPr>
          <w:p w14:paraId="670DC168">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12</w:t>
            </w:r>
          </w:p>
        </w:tc>
        <w:tc>
          <w:tcPr>
            <w:tcW w:w="1241" w:type="dxa"/>
            <w:vAlign w:val="center"/>
          </w:tcPr>
          <w:p w14:paraId="48A990E8">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提交响应文件截止时间、开标时间和地点</w:t>
            </w:r>
          </w:p>
        </w:tc>
        <w:tc>
          <w:tcPr>
            <w:tcW w:w="7415" w:type="dxa"/>
            <w:vAlign w:val="center"/>
          </w:tcPr>
          <w:p w14:paraId="05B58C70">
            <w:pPr>
              <w:snapToGrid w:val="0"/>
              <w:spacing w:line="0" w:lineRule="atLeast"/>
              <w:rPr>
                <w:rFonts w:ascii="仿宋" w:hAnsi="仿宋" w:eastAsia="仿宋" w:cs="仿宋"/>
                <w:sz w:val="24"/>
                <w:szCs w:val="24"/>
              </w:rPr>
            </w:pPr>
            <w:r>
              <w:rPr>
                <w:rFonts w:hint="eastAsia" w:ascii="仿宋" w:hAnsi="仿宋" w:eastAsia="仿宋" w:cs="仿宋"/>
                <w:sz w:val="24"/>
                <w:szCs w:val="24"/>
              </w:rPr>
              <w:t>接收响应文件时</w:t>
            </w:r>
            <w:r>
              <w:rPr>
                <w:rFonts w:hint="eastAsia" w:ascii="仿宋" w:hAnsi="仿宋" w:eastAsia="仿宋" w:cs="仿宋"/>
                <w:sz w:val="24"/>
                <w:szCs w:val="24"/>
                <w:highlight w:val="none"/>
              </w:rPr>
              <w:t>间：2024年</w:t>
            </w:r>
            <w:r>
              <w:rPr>
                <w:rFonts w:hint="eastAsia" w:ascii="仿宋" w:hAnsi="仿宋" w:eastAsia="仿宋" w:cs="仿宋"/>
                <w:sz w:val="24"/>
                <w:szCs w:val="24"/>
                <w:highlight w:val="none"/>
                <w:lang w:val="en-US" w:eastAsia="zh-CN"/>
              </w:rPr>
              <w:t>08</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29</w:t>
            </w:r>
            <w:r>
              <w:rPr>
                <w:rFonts w:hint="eastAsia" w:ascii="仿宋" w:hAnsi="仿宋" w:eastAsia="仿宋" w:cs="仿宋"/>
                <w:sz w:val="24"/>
                <w:szCs w:val="24"/>
                <w:highlight w:val="none"/>
              </w:rPr>
              <w:t>日下午13:30-14：00</w:t>
            </w:r>
          </w:p>
          <w:p w14:paraId="35AC6C4B">
            <w:pPr>
              <w:snapToGrid w:val="0"/>
              <w:spacing w:line="0" w:lineRule="atLeast"/>
              <w:rPr>
                <w:rFonts w:ascii="仿宋" w:hAnsi="仿宋" w:eastAsia="仿宋" w:cs="仿宋"/>
                <w:sz w:val="24"/>
                <w:szCs w:val="24"/>
              </w:rPr>
            </w:pPr>
            <w:r>
              <w:rPr>
                <w:rFonts w:hint="eastAsia" w:ascii="仿宋" w:hAnsi="仿宋" w:eastAsia="仿宋" w:cs="仿宋"/>
                <w:sz w:val="24"/>
                <w:szCs w:val="24"/>
              </w:rPr>
              <w:t>接收地点：南京市秦淮区光华东街6号世界之窗创意产业园15幢3楼开标室</w:t>
            </w:r>
          </w:p>
        </w:tc>
      </w:tr>
      <w:tr w14:paraId="1E375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32" w:type="dxa"/>
            <w:vAlign w:val="center"/>
          </w:tcPr>
          <w:p w14:paraId="3058BDBD">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13</w:t>
            </w:r>
          </w:p>
        </w:tc>
        <w:tc>
          <w:tcPr>
            <w:tcW w:w="1241" w:type="dxa"/>
            <w:vAlign w:val="center"/>
          </w:tcPr>
          <w:p w14:paraId="3C18B03D">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响应文件</w:t>
            </w:r>
          </w:p>
          <w:p w14:paraId="79395870">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数量</w:t>
            </w:r>
          </w:p>
        </w:tc>
        <w:tc>
          <w:tcPr>
            <w:tcW w:w="7415" w:type="dxa"/>
            <w:vAlign w:val="center"/>
          </w:tcPr>
          <w:p w14:paraId="206E5C0D">
            <w:pPr>
              <w:snapToGrid w:val="0"/>
              <w:spacing w:line="0" w:lineRule="atLeast"/>
              <w:rPr>
                <w:rFonts w:ascii="仿宋" w:hAnsi="仿宋" w:eastAsia="仿宋" w:cs="仿宋"/>
                <w:sz w:val="24"/>
                <w:szCs w:val="24"/>
              </w:rPr>
            </w:pPr>
            <w:r>
              <w:rPr>
                <w:rFonts w:hint="eastAsia" w:ascii="仿宋" w:hAnsi="仿宋" w:eastAsia="仿宋" w:cs="仿宋"/>
                <w:sz w:val="24"/>
                <w:szCs w:val="24"/>
              </w:rPr>
              <w:t>正本份数：1份</w:t>
            </w:r>
          </w:p>
          <w:p w14:paraId="31775B80">
            <w:pPr>
              <w:snapToGrid w:val="0"/>
              <w:spacing w:line="0" w:lineRule="atLeast"/>
              <w:rPr>
                <w:rFonts w:ascii="仿宋" w:hAnsi="仿宋" w:eastAsia="仿宋" w:cs="仿宋"/>
                <w:sz w:val="24"/>
                <w:szCs w:val="24"/>
              </w:rPr>
            </w:pPr>
            <w:r>
              <w:rPr>
                <w:rFonts w:hint="eastAsia" w:ascii="仿宋" w:hAnsi="仿宋" w:eastAsia="仿宋" w:cs="仿宋"/>
                <w:sz w:val="24"/>
                <w:szCs w:val="24"/>
              </w:rPr>
              <w:t>副本份数：3份</w:t>
            </w:r>
          </w:p>
          <w:p w14:paraId="1C84FE81">
            <w:pPr>
              <w:snapToGrid w:val="0"/>
              <w:spacing w:line="0" w:lineRule="atLeast"/>
              <w:rPr>
                <w:rFonts w:ascii="仿宋" w:hAnsi="仿宋" w:eastAsia="仿宋" w:cs="仿宋"/>
                <w:sz w:val="24"/>
                <w:szCs w:val="24"/>
              </w:rPr>
            </w:pPr>
            <w:r>
              <w:rPr>
                <w:rFonts w:hint="eastAsia" w:ascii="仿宋" w:hAnsi="仿宋" w:eastAsia="仿宋" w:cs="仿宋"/>
                <w:sz w:val="24"/>
                <w:szCs w:val="24"/>
              </w:rPr>
              <w:t>电子文档：1份</w:t>
            </w:r>
            <w:r>
              <w:rPr>
                <w:rFonts w:hint="eastAsia" w:ascii="仿宋" w:hAnsi="仿宋" w:eastAsia="仿宋" w:cs="仿宋"/>
                <w:b/>
                <w:bCs/>
                <w:i/>
                <w:iCs/>
                <w:color w:val="000000" w:themeColor="text1"/>
                <w:sz w:val="24"/>
                <w:szCs w:val="24"/>
                <w:u w:val="single" w:color="000000"/>
                <w14:textFill>
                  <w14:solidFill>
                    <w14:schemeClr w14:val="tx1"/>
                  </w14:solidFill>
                </w14:textFill>
              </w:rPr>
              <w:t>（U盘与正本封装，提供PDF版，封面及签章部分须盖章签字）</w:t>
            </w:r>
          </w:p>
        </w:tc>
      </w:tr>
      <w:tr w14:paraId="4B980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32" w:type="dxa"/>
            <w:vAlign w:val="center"/>
          </w:tcPr>
          <w:p w14:paraId="3E41B1B9">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14</w:t>
            </w:r>
          </w:p>
        </w:tc>
        <w:tc>
          <w:tcPr>
            <w:tcW w:w="1241" w:type="dxa"/>
            <w:vAlign w:val="center"/>
          </w:tcPr>
          <w:p w14:paraId="294920A5">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响应文件开启时间和地点</w:t>
            </w:r>
          </w:p>
        </w:tc>
        <w:tc>
          <w:tcPr>
            <w:tcW w:w="7415" w:type="dxa"/>
            <w:vAlign w:val="center"/>
          </w:tcPr>
          <w:p w14:paraId="1834CB01">
            <w:pPr>
              <w:snapToGrid w:val="0"/>
              <w:spacing w:line="0" w:lineRule="atLeast"/>
              <w:rPr>
                <w:rFonts w:ascii="仿宋" w:hAnsi="仿宋" w:eastAsia="仿宋" w:cs="仿宋"/>
                <w:sz w:val="24"/>
                <w:szCs w:val="24"/>
              </w:rPr>
            </w:pPr>
            <w:r>
              <w:rPr>
                <w:rFonts w:hint="eastAsia" w:ascii="仿宋" w:hAnsi="仿宋" w:eastAsia="仿宋" w:cs="仿宋"/>
                <w:sz w:val="24"/>
                <w:szCs w:val="24"/>
              </w:rPr>
              <w:t>时间：</w:t>
            </w:r>
            <w:r>
              <w:rPr>
                <w:rFonts w:hint="eastAsia" w:ascii="仿宋" w:hAnsi="仿宋" w:eastAsia="仿宋" w:cs="仿宋"/>
                <w:color w:val="000000" w:themeColor="text1"/>
                <w:sz w:val="24"/>
                <w:szCs w:val="24"/>
                <w14:textFill>
                  <w14:solidFill>
                    <w14:schemeClr w14:val="tx1"/>
                  </w14:solidFill>
                </w14:textFill>
              </w:rPr>
              <w:t>20</w:t>
            </w:r>
            <w:r>
              <w:rPr>
                <w:rFonts w:hint="eastAsia" w:ascii="仿宋" w:hAnsi="仿宋" w:eastAsia="仿宋" w:cs="仿宋"/>
                <w:sz w:val="24"/>
                <w:szCs w:val="24"/>
              </w:rPr>
              <w:t>24年</w:t>
            </w:r>
            <w:r>
              <w:rPr>
                <w:rFonts w:hint="eastAsia" w:ascii="仿宋" w:hAnsi="仿宋" w:eastAsia="仿宋" w:cs="仿宋"/>
                <w:sz w:val="24"/>
                <w:szCs w:val="24"/>
                <w:lang w:val="en-US" w:eastAsia="zh-CN"/>
              </w:rPr>
              <w:t>08</w:t>
            </w:r>
            <w:r>
              <w:rPr>
                <w:rFonts w:hint="eastAsia" w:ascii="仿宋" w:hAnsi="仿宋" w:eastAsia="仿宋" w:cs="仿宋"/>
                <w:sz w:val="24"/>
                <w:szCs w:val="24"/>
              </w:rPr>
              <w:t>月</w:t>
            </w:r>
            <w:r>
              <w:rPr>
                <w:rFonts w:hint="eastAsia" w:ascii="仿宋" w:hAnsi="仿宋" w:eastAsia="仿宋" w:cs="仿宋"/>
                <w:sz w:val="24"/>
                <w:szCs w:val="24"/>
                <w:lang w:val="en-US" w:eastAsia="zh-CN"/>
              </w:rPr>
              <w:t>29</w:t>
            </w:r>
            <w:r>
              <w:rPr>
                <w:rFonts w:hint="eastAsia" w:ascii="仿宋" w:hAnsi="仿宋" w:eastAsia="仿宋" w:cs="仿宋"/>
                <w:sz w:val="24"/>
                <w:szCs w:val="24"/>
              </w:rPr>
              <w:t>日下午14：00</w:t>
            </w:r>
            <w:bookmarkStart w:id="426" w:name="_GoBack"/>
            <w:bookmarkEnd w:id="426"/>
          </w:p>
          <w:p w14:paraId="1EA96DD5">
            <w:pPr>
              <w:snapToGrid w:val="0"/>
              <w:spacing w:line="0" w:lineRule="atLeast"/>
              <w:rPr>
                <w:rFonts w:ascii="仿宋" w:hAnsi="仿宋" w:eastAsia="仿宋" w:cs="仿宋"/>
                <w:sz w:val="24"/>
                <w:szCs w:val="24"/>
              </w:rPr>
            </w:pPr>
            <w:r>
              <w:rPr>
                <w:rFonts w:hint="eastAsia" w:ascii="仿宋" w:hAnsi="仿宋" w:eastAsia="仿宋" w:cs="仿宋"/>
                <w:sz w:val="24"/>
                <w:szCs w:val="24"/>
              </w:rPr>
              <w:t>地点：南京市秦淮区光华东街6号世界之窗创意产业园15幢4楼</w:t>
            </w:r>
          </w:p>
        </w:tc>
      </w:tr>
      <w:tr w14:paraId="69460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00DDAC3F">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15</w:t>
            </w:r>
          </w:p>
        </w:tc>
        <w:tc>
          <w:tcPr>
            <w:tcW w:w="1241" w:type="dxa"/>
            <w:vAlign w:val="center"/>
          </w:tcPr>
          <w:p w14:paraId="47845A48">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响应文件</w:t>
            </w:r>
          </w:p>
          <w:p w14:paraId="004BF170">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有效期</w:t>
            </w:r>
          </w:p>
        </w:tc>
        <w:tc>
          <w:tcPr>
            <w:tcW w:w="7415" w:type="dxa"/>
            <w:vAlign w:val="center"/>
          </w:tcPr>
          <w:p w14:paraId="293E1904">
            <w:pPr>
              <w:snapToGrid w:val="0"/>
              <w:spacing w:line="0" w:lineRule="atLeast"/>
              <w:rPr>
                <w:rFonts w:ascii="仿宋" w:hAnsi="仿宋" w:eastAsia="仿宋" w:cs="仿宋"/>
                <w:sz w:val="24"/>
                <w:szCs w:val="24"/>
              </w:rPr>
            </w:pPr>
            <w:r>
              <w:rPr>
                <w:rFonts w:hint="eastAsia" w:ascii="仿宋" w:hAnsi="仿宋" w:eastAsia="仿宋" w:cs="仿宋"/>
                <w:sz w:val="24"/>
                <w:szCs w:val="24"/>
              </w:rPr>
              <w:t>提交响应文件截止时间起九十天，有效期短于此规定的响应文件将作无效响应处理。</w:t>
            </w:r>
          </w:p>
        </w:tc>
      </w:tr>
      <w:tr w14:paraId="64170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01EE7A01">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16</w:t>
            </w:r>
          </w:p>
        </w:tc>
        <w:tc>
          <w:tcPr>
            <w:tcW w:w="1241" w:type="dxa"/>
            <w:vAlign w:val="center"/>
          </w:tcPr>
          <w:p w14:paraId="526D96C5">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评审办法</w:t>
            </w:r>
          </w:p>
        </w:tc>
        <w:tc>
          <w:tcPr>
            <w:tcW w:w="7415" w:type="dxa"/>
            <w:vAlign w:val="center"/>
          </w:tcPr>
          <w:p w14:paraId="616A8947">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综合评分法</w:t>
            </w:r>
          </w:p>
        </w:tc>
      </w:tr>
      <w:tr w14:paraId="2ABF6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3176E7B4">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17</w:t>
            </w:r>
          </w:p>
        </w:tc>
        <w:tc>
          <w:tcPr>
            <w:tcW w:w="1241" w:type="dxa"/>
            <w:vAlign w:val="center"/>
          </w:tcPr>
          <w:p w14:paraId="7565A917">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报价</w:t>
            </w:r>
          </w:p>
        </w:tc>
        <w:tc>
          <w:tcPr>
            <w:tcW w:w="7415" w:type="dxa"/>
            <w:vAlign w:val="center"/>
          </w:tcPr>
          <w:p w14:paraId="5B00C45F">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1、所有磋商响应均以人民币报价。</w:t>
            </w:r>
          </w:p>
          <w:p w14:paraId="5056FED8">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2、供应商应按照磋商文件规定格式填报磋商响应报价表(报价一览表）。每项产品或服务只允许有一个报价，任何有选择的报价或备选方案（每项产品多品牌报价或每项服务多方案报价）将不予接受，磋商文件中另有规定的按规定执行。(如有备选配件，备选配件的报价不属于选择的报价)。</w:t>
            </w:r>
          </w:p>
        </w:tc>
      </w:tr>
      <w:tr w14:paraId="621C8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3EB88C4C">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18</w:t>
            </w:r>
          </w:p>
        </w:tc>
        <w:tc>
          <w:tcPr>
            <w:tcW w:w="1241" w:type="dxa"/>
            <w:vAlign w:val="center"/>
          </w:tcPr>
          <w:p w14:paraId="71B27C90">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成交供应商</w:t>
            </w:r>
          </w:p>
        </w:tc>
        <w:tc>
          <w:tcPr>
            <w:tcW w:w="7415" w:type="dxa"/>
            <w:vAlign w:val="center"/>
          </w:tcPr>
          <w:p w14:paraId="132BF619">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磋商小组进行综合评分后按综合评分由高到低推荐三名成交候选供应商，采购人在推荐的成交候选供应商中按顺序确定一名成交供应商。</w:t>
            </w:r>
          </w:p>
        </w:tc>
      </w:tr>
      <w:tr w14:paraId="217A0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6C554195">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19</w:t>
            </w:r>
          </w:p>
        </w:tc>
        <w:tc>
          <w:tcPr>
            <w:tcW w:w="1241" w:type="dxa"/>
            <w:vAlign w:val="center"/>
          </w:tcPr>
          <w:p w14:paraId="7B708B1E">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采购合同签订</w:t>
            </w:r>
          </w:p>
        </w:tc>
        <w:tc>
          <w:tcPr>
            <w:tcW w:w="7415" w:type="dxa"/>
            <w:vAlign w:val="center"/>
          </w:tcPr>
          <w:p w14:paraId="1116F7E1">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合同签订，成交通知书发出后30日内。</w:t>
            </w:r>
          </w:p>
        </w:tc>
      </w:tr>
      <w:tr w14:paraId="36E2A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2F8A2FF4">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20</w:t>
            </w:r>
          </w:p>
        </w:tc>
        <w:tc>
          <w:tcPr>
            <w:tcW w:w="1241" w:type="dxa"/>
            <w:vAlign w:val="center"/>
          </w:tcPr>
          <w:p w14:paraId="2B92171E">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无效响应</w:t>
            </w:r>
          </w:p>
        </w:tc>
        <w:tc>
          <w:tcPr>
            <w:tcW w:w="7415" w:type="dxa"/>
            <w:vAlign w:val="center"/>
          </w:tcPr>
          <w:p w14:paraId="5919A4FD">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1、未按照采购文件要求密封、签署、盖章的；</w:t>
            </w:r>
          </w:p>
          <w:p w14:paraId="636AFB13">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2、供应商在报价时采用选择性报价的；</w:t>
            </w:r>
          </w:p>
          <w:p w14:paraId="3C8ED59D">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3、供应商不具备采购文件中规定资格要求及不符合财政部财库（2016）125号文件规定的；</w:t>
            </w:r>
          </w:p>
          <w:p w14:paraId="64D329AF">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4、供应商的报价超过了采购预算的；</w:t>
            </w:r>
          </w:p>
          <w:p w14:paraId="4BF2B481">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5、未通过符合性检查的；</w:t>
            </w:r>
          </w:p>
          <w:p w14:paraId="22174540">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6、不符合采购文件中规定的其他实质性要求和条件的（本采购文件中标注为实质性要求的条款或斜体且有下划线部分为实质性要求和条件）。</w:t>
            </w:r>
          </w:p>
        </w:tc>
      </w:tr>
      <w:tr w14:paraId="42B60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6B968196">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21</w:t>
            </w:r>
          </w:p>
        </w:tc>
        <w:tc>
          <w:tcPr>
            <w:tcW w:w="1241" w:type="dxa"/>
            <w:vAlign w:val="center"/>
          </w:tcPr>
          <w:p w14:paraId="42699E8B">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质疑处理</w:t>
            </w:r>
          </w:p>
        </w:tc>
        <w:tc>
          <w:tcPr>
            <w:tcW w:w="7415" w:type="dxa"/>
            <w:vAlign w:val="center"/>
          </w:tcPr>
          <w:p w14:paraId="663F335B">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1.供应商认为磋商文件、采购过程和采购结果使自己的权益受到损害的，可以在知道或应知其权益受到损害之日起七个工作日内，以书面形式向采购代理机构或采购人提出质疑。上述应知其权益受到损害之日，是指：</w:t>
            </w:r>
          </w:p>
          <w:p w14:paraId="0710352A">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1.1对可以质疑的磋商文件提出质疑的，为收到磋商文件之日或者磋商文件公告期限届满之日；</w:t>
            </w:r>
          </w:p>
          <w:p w14:paraId="36E199CC">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1.2对采购过程提出质疑的，为各采购程序环节结束之日；</w:t>
            </w:r>
          </w:p>
          <w:p w14:paraId="7B5C74AD">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1.3对成交结果提出质疑的，为成交结果公告期限届满之日。</w:t>
            </w:r>
          </w:p>
          <w:p w14:paraId="5F7CB8CD">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2.质疑必须按《政府采购法》、《政府采购法实施条例》、中华人民共和国财政部令第94号令《政府采购质疑和投诉办法》的相关规定提交，未按上述要求提交的质疑函（含传真、电子邮件等）采购代理机构有权要求质疑供应商按规定予以修正。</w:t>
            </w:r>
          </w:p>
          <w:p w14:paraId="4C894C2F">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3.未参加磋商采购活动的供应商或在磋商采购活动中自身权益未受到损害的供应商所提出的质疑不予受理。</w:t>
            </w:r>
          </w:p>
          <w:p w14:paraId="0F4B3C7C">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4.质疑函应当包括下列内容：</w:t>
            </w:r>
          </w:p>
          <w:p w14:paraId="48AE931C">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（一）供应商的姓名或者名称、地址、邮编、联系人及联系电话；</w:t>
            </w:r>
          </w:p>
          <w:p w14:paraId="676BFF32">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（二）质疑项目的名称、编号；</w:t>
            </w:r>
          </w:p>
          <w:p w14:paraId="75392DF0">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（三）具体、明确的质疑事项和与质疑事项相关的请求；</w:t>
            </w:r>
          </w:p>
          <w:p w14:paraId="51D40550">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（四）事实依据；</w:t>
            </w:r>
          </w:p>
          <w:p w14:paraId="241A3D26">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（五）必要的法律依据；</w:t>
            </w:r>
          </w:p>
          <w:p w14:paraId="68BA6965">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（六）提出质疑的日期。</w:t>
            </w:r>
          </w:p>
          <w:p w14:paraId="52637342">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供应商为自然人的，应当由本人签字；供应商为法人或者其他组织的，应当由法定代表人、主要负责人，或者其授权代表签字或者盖章，并加盖公章。</w:t>
            </w:r>
          </w:p>
          <w:p w14:paraId="4D148CBF">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质疑人委托代理质疑的，应当向采购代理机构提交授权委托书，并载明委托代理的具体权限和事项。</w:t>
            </w:r>
          </w:p>
          <w:p w14:paraId="6F1C2E81">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5.采购代理机构收到质疑函后，将对质疑的形式和内容进行审查，如质疑函内容、格式不符合规定，采购代理机构将告知质疑人进行补正。</w:t>
            </w:r>
          </w:p>
          <w:p w14:paraId="1E588CEF">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6.质疑人应当在法定质疑期限内进行补正并重新提交质疑函。</w:t>
            </w:r>
          </w:p>
          <w:p w14:paraId="57205868">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7.采购代理机构应当在收到供应商的书面质疑后七个工作日内作出答复，并以书面形式通知质疑供应商和其他有关供应商，并告知质疑供应商具有投诉的权利。质疑答复的内容不得涉及评审情况与所获知的供应商的商业秘密。</w:t>
            </w:r>
          </w:p>
          <w:p w14:paraId="7E829BB5">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8.供应商提出书面质疑必须依据事实和法律依据，不得捏造事实进行恶意或虚假质疑。</w:t>
            </w:r>
          </w:p>
        </w:tc>
      </w:tr>
      <w:tr w14:paraId="39E02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7BB532D1">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22</w:t>
            </w:r>
          </w:p>
        </w:tc>
        <w:tc>
          <w:tcPr>
            <w:tcW w:w="1241" w:type="dxa"/>
            <w:vAlign w:val="center"/>
          </w:tcPr>
          <w:p w14:paraId="254BAFDE">
            <w:pPr>
              <w:snapToGrid w:val="0"/>
              <w:spacing w:line="0" w:lineRule="atLeast"/>
              <w:jc w:val="center"/>
              <w:rPr>
                <w:rFonts w:ascii="仿宋" w:hAnsi="仿宋" w:eastAsia="仿宋" w:cs="仿宋"/>
                <w:sz w:val="24"/>
                <w:szCs w:val="24"/>
              </w:rPr>
            </w:pPr>
            <w:r>
              <w:rPr>
                <w:rFonts w:hint="eastAsia" w:ascii="仿宋" w:hAnsi="仿宋" w:eastAsia="仿宋" w:cs="仿宋"/>
                <w:sz w:val="24"/>
                <w:szCs w:val="24"/>
              </w:rPr>
              <w:t>答疑或现场勘查</w:t>
            </w:r>
          </w:p>
        </w:tc>
        <w:tc>
          <w:tcPr>
            <w:tcW w:w="7415" w:type="dxa"/>
            <w:vAlign w:val="center"/>
          </w:tcPr>
          <w:p w14:paraId="31CA4B6C">
            <w:pPr>
              <w:snapToGrid w:val="0"/>
              <w:spacing w:line="0" w:lineRule="atLeast"/>
              <w:jc w:val="left"/>
              <w:rPr>
                <w:rFonts w:ascii="仿宋" w:hAnsi="仿宋" w:eastAsia="仿宋" w:cs="仿宋"/>
                <w:sz w:val="24"/>
                <w:szCs w:val="24"/>
              </w:rPr>
            </w:pPr>
            <w:r>
              <w:rPr>
                <w:rFonts w:hint="eastAsia" w:ascii="仿宋" w:hAnsi="仿宋" w:eastAsia="仿宋" w:cs="仿宋"/>
                <w:sz w:val="24"/>
                <w:szCs w:val="24"/>
              </w:rPr>
              <w:t>本项目不统一组织答疑会或现场勘查。</w:t>
            </w:r>
          </w:p>
        </w:tc>
      </w:tr>
    </w:tbl>
    <w:p w14:paraId="17F04C0E">
      <w:pPr>
        <w:spacing w:line="360" w:lineRule="auto"/>
        <w:ind w:firstLine="480" w:firstLineChars="200"/>
        <w:jc w:val="center"/>
        <w:rPr>
          <w:rFonts w:ascii="仿宋" w:hAnsi="仿宋" w:eastAsia="仿宋" w:cs="仿宋"/>
          <w:color w:val="000000"/>
          <w:sz w:val="24"/>
          <w:szCs w:val="24"/>
        </w:rPr>
      </w:pPr>
    </w:p>
    <w:bookmarkEnd w:id="36"/>
    <w:bookmarkEnd w:id="37"/>
    <w:bookmarkEnd w:id="38"/>
    <w:p w14:paraId="77536267">
      <w:pPr>
        <w:snapToGrid w:val="0"/>
        <w:spacing w:line="360" w:lineRule="auto"/>
        <w:ind w:firstLine="562" w:firstLineChars="200"/>
        <w:outlineLvl w:val="1"/>
        <w:rPr>
          <w:rFonts w:ascii="仿宋" w:hAnsi="仿宋" w:eastAsia="仿宋" w:cs="仿宋"/>
          <w:b/>
          <w:color w:val="000000"/>
          <w:sz w:val="28"/>
          <w:szCs w:val="22"/>
        </w:rPr>
      </w:pPr>
      <w:bookmarkStart w:id="49" w:name="_Toc23892"/>
      <w:bookmarkStart w:id="50" w:name="_Toc3426"/>
      <w:bookmarkStart w:id="51" w:name="_Toc28890"/>
      <w:bookmarkStart w:id="52" w:name="_Toc31586"/>
      <w:bookmarkStart w:id="53" w:name="_Toc12851"/>
      <w:r>
        <w:rPr>
          <w:rFonts w:hint="eastAsia" w:ascii="仿宋" w:hAnsi="仿宋" w:eastAsia="仿宋" w:cs="仿宋"/>
          <w:b/>
          <w:color w:val="000000"/>
          <w:sz w:val="28"/>
          <w:szCs w:val="22"/>
        </w:rPr>
        <w:t>一、总则</w:t>
      </w:r>
      <w:bookmarkEnd w:id="49"/>
      <w:bookmarkEnd w:id="50"/>
      <w:bookmarkEnd w:id="51"/>
      <w:bookmarkEnd w:id="52"/>
      <w:bookmarkEnd w:id="53"/>
    </w:p>
    <w:p w14:paraId="4A9A0B37">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1、适用范围</w:t>
      </w:r>
    </w:p>
    <w:p w14:paraId="3971F0D2">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1.1 本竞争性磋商文件（以下简称磋商文件）仅适用江苏省高级人民法院密评项目。</w:t>
      </w:r>
    </w:p>
    <w:p w14:paraId="393978FC">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2、项目采购方式</w:t>
      </w:r>
    </w:p>
    <w:p w14:paraId="6ADD7199">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本次采购采取竞争性磋商的方式。</w:t>
      </w:r>
    </w:p>
    <w:p w14:paraId="307B6DBA">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3、合格的供应商</w:t>
      </w:r>
    </w:p>
    <w:p w14:paraId="06B1EEF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3.1满足本磋商文件“采购邀请”中合格供应商资格要求的规定。</w:t>
      </w:r>
    </w:p>
    <w:p w14:paraId="0EED1E3E">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3.2 满足本磋商文件实质性要求和条件的规定。</w:t>
      </w:r>
    </w:p>
    <w:p w14:paraId="7D5D9C5F">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4、参加磋商费用</w:t>
      </w:r>
    </w:p>
    <w:p w14:paraId="75FD7286">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4.1 供应商应自行承担所有与参加</w:t>
      </w:r>
      <w:r>
        <w:rPr>
          <w:rFonts w:hint="eastAsia" w:ascii="仿宋" w:hAnsi="仿宋" w:eastAsia="仿宋" w:cs="仿宋"/>
          <w:color w:val="000000"/>
          <w:sz w:val="24"/>
          <w:szCs w:val="24"/>
        </w:rPr>
        <w:t>竞争性磋商</w:t>
      </w:r>
      <w:r>
        <w:rPr>
          <w:rFonts w:hint="eastAsia" w:ascii="仿宋" w:hAnsi="仿宋" w:eastAsia="仿宋" w:cs="仿宋"/>
          <w:bCs/>
          <w:color w:val="000000"/>
          <w:sz w:val="24"/>
        </w:rPr>
        <w:t>有关的费用，无论磋商过程中的做法和结果如何，南京达琛鑫工程咨询有限公司（以下简称采购代理机构）在任何情况下均无义务和责任承担这些费用。</w:t>
      </w:r>
    </w:p>
    <w:p w14:paraId="223C5736">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4.2本次</w:t>
      </w:r>
      <w:r>
        <w:rPr>
          <w:rFonts w:hint="eastAsia" w:ascii="仿宋" w:hAnsi="仿宋" w:eastAsia="仿宋" w:cs="仿宋"/>
          <w:color w:val="000000"/>
          <w:sz w:val="24"/>
          <w:szCs w:val="24"/>
        </w:rPr>
        <w:t>磋商</w:t>
      </w:r>
      <w:r>
        <w:rPr>
          <w:rFonts w:hint="eastAsia" w:ascii="仿宋" w:hAnsi="仿宋" w:eastAsia="仿宋" w:cs="仿宋"/>
          <w:bCs/>
          <w:color w:val="000000"/>
          <w:sz w:val="24"/>
        </w:rPr>
        <w:t>收取磋商文件费。</w:t>
      </w:r>
    </w:p>
    <w:p w14:paraId="00FEEF21">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4.3代理服务费：</w:t>
      </w:r>
      <w:r>
        <w:rPr>
          <w:rFonts w:hint="eastAsia" w:ascii="仿宋" w:hAnsi="仿宋" w:eastAsia="仿宋" w:cs="仿宋"/>
          <w:bCs/>
          <w:color w:val="000000" w:themeColor="text1"/>
          <w:sz w:val="24"/>
          <w14:textFill>
            <w14:solidFill>
              <w14:schemeClr w14:val="tx1"/>
            </w14:solidFill>
          </w14:textFill>
        </w:rPr>
        <w:t>本次采购代理服务费的收取按照苏招协（[2022]002号）《江苏省招标代理服务收费的指导意见》规定的费率直接计算（最低收费基数3500元），由成交供应商领取《成交通知书》时向采购代理机构缴纳。根据财库〔2018〕2号《政府招标代理机构管理暂行办法》第十五条之规定，凭《成交通知书》与采购人签订合同。</w:t>
      </w:r>
    </w:p>
    <w:p w14:paraId="3E2A320F">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5、磋商文件的约束力</w:t>
      </w:r>
    </w:p>
    <w:p w14:paraId="4D2E2882">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供应商一旦购买了本磋商文件并决定参加磋商，即被认为接受了本磋商文件的规定和约束，并且视为自竞争性磋商公告期限届满之日起已经知道或应当知道自身权益是否受到了损害。</w:t>
      </w:r>
    </w:p>
    <w:p w14:paraId="73B4F654">
      <w:pPr>
        <w:snapToGrid w:val="0"/>
        <w:spacing w:line="360" w:lineRule="auto"/>
        <w:ind w:firstLine="482" w:firstLineChars="200"/>
        <w:rPr>
          <w:rFonts w:ascii="仿宋" w:hAnsi="仿宋" w:eastAsia="仿宋" w:cs="仿宋"/>
          <w:b/>
          <w:color w:val="000000"/>
          <w:sz w:val="24"/>
        </w:rPr>
      </w:pPr>
      <w:bookmarkStart w:id="54" w:name="_Toc462564072"/>
      <w:bookmarkStart w:id="55" w:name="_Toc14577351"/>
      <w:bookmarkStart w:id="56" w:name="_Toc27104"/>
      <w:bookmarkStart w:id="57" w:name="_Toc513029213"/>
      <w:bookmarkStart w:id="58" w:name="_Toc443"/>
      <w:bookmarkStart w:id="59" w:name="_Toc61149553"/>
      <w:bookmarkStart w:id="60" w:name="_Toc31687"/>
      <w:r>
        <w:rPr>
          <w:rFonts w:hint="eastAsia" w:ascii="仿宋" w:hAnsi="仿宋" w:eastAsia="仿宋" w:cs="仿宋"/>
          <w:b/>
          <w:color w:val="000000"/>
          <w:sz w:val="24"/>
        </w:rPr>
        <w:t>6、</w:t>
      </w:r>
      <w:bookmarkStart w:id="61" w:name="_Toc20823283"/>
      <w:bookmarkStart w:id="62" w:name="_Toc462564070"/>
      <w:bookmarkStart w:id="63" w:name="_Toc513029211"/>
      <w:bookmarkStart w:id="64" w:name="_Toc16938527"/>
      <w:r>
        <w:rPr>
          <w:rFonts w:hint="eastAsia" w:ascii="仿宋" w:hAnsi="仿宋" w:eastAsia="仿宋" w:cs="仿宋"/>
          <w:b/>
          <w:color w:val="000000"/>
          <w:sz w:val="24"/>
        </w:rPr>
        <w:t>磋商文件的澄清</w:t>
      </w:r>
      <w:bookmarkEnd w:id="61"/>
      <w:bookmarkEnd w:id="62"/>
      <w:bookmarkEnd w:id="63"/>
      <w:bookmarkEnd w:id="64"/>
      <w:r>
        <w:rPr>
          <w:rFonts w:hint="eastAsia" w:ascii="仿宋" w:hAnsi="仿宋" w:eastAsia="仿宋" w:cs="仿宋"/>
          <w:b/>
          <w:color w:val="000000"/>
          <w:sz w:val="24"/>
        </w:rPr>
        <w:t>及修改</w:t>
      </w:r>
    </w:p>
    <w:p w14:paraId="5096FD46">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6.1</w:t>
      </w:r>
      <w:r>
        <w:rPr>
          <w:rFonts w:hint="eastAsia" w:ascii="仿宋" w:hAnsi="仿宋" w:eastAsia="仿宋" w:cs="仿宋"/>
          <w:bCs/>
          <w:sz w:val="24"/>
        </w:rPr>
        <w:t>任何要求对磋商文件进行澄清的供应商，均应在提交首次响应文件截止时间5日前按采购邀请中的通讯地址，以书面形式通知采购代理机构。提交首次响应文件截止之日前，采购代理机构可以对已发出的磋商文件进行必要的澄清或者修改，澄清或者修改的内容作为磋商文件的组成部分。澄清或者修改的内容可能影响响应文件编制的，采购代理机构将在提交首次响应文件截止时间至少5日前，在“江苏省招标投标公共服务平台”上发布书面更正公告形式通知所有获取磋商文件的供应商。不足5日的，采购代理机构应当顺延提交首次响应文件截止时间。</w:t>
      </w:r>
    </w:p>
    <w:p w14:paraId="29472BBA">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6.2采购代理机构可以视采购项目的具体情况，组织供应商进行现场考察或召开磋商前答疑会，但不单独或分别组织只有一个供应商参加的现场考察和答疑会。</w:t>
      </w:r>
    </w:p>
    <w:p w14:paraId="61446642">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7、政策功能</w:t>
      </w:r>
    </w:p>
    <w:p w14:paraId="731315CA">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7.1中小企业政策</w:t>
      </w:r>
    </w:p>
    <w:p w14:paraId="318DF194">
      <w:pPr>
        <w:numPr>
          <w:ilvl w:val="0"/>
          <w:numId w:val="7"/>
        </w:numPr>
        <w:snapToGrid w:val="0"/>
        <w:spacing w:line="360" w:lineRule="auto"/>
        <w:ind w:firstLine="480" w:firstLineChars="200"/>
        <w:rPr>
          <w:rFonts w:ascii="仿宋" w:hAnsi="仿宋" w:eastAsia="仿宋" w:cs="仿宋"/>
          <w:sz w:val="24"/>
        </w:rPr>
      </w:pPr>
      <w:r>
        <w:rPr>
          <w:rFonts w:hint="eastAsia" w:ascii="仿宋" w:hAnsi="仿宋" w:eastAsia="仿宋" w:cs="仿宋"/>
          <w:bCs/>
          <w:color w:val="000000"/>
          <w:sz w:val="24"/>
        </w:rPr>
        <w:t>中小企业（含中型、小型、微型企业）应当符合《政府采购促进中小企业发展管理办法》（财库〔2020〕46号,以下简称46号文）第二条、《关于政府采购支持监狱企业发展有关问题的通知》（财库〔2014〕68号）第一条或《关于促进残疾人就业政府采购政策的通知》（财库〔2017〕141号）第一条的规定。本项目对残疾人福利性单位、监狱和戒毒企业（简称监狱企业）视同小型、微型企业。残疾人福利单位、监狱企业属于小型、微型企业的，不重复享受政策。</w:t>
      </w:r>
    </w:p>
    <w:p w14:paraId="4C5131CF">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（2）中</w:t>
      </w:r>
      <w:r>
        <w:rPr>
          <w:rFonts w:hint="eastAsia" w:ascii="仿宋" w:hAnsi="仿宋" w:eastAsia="仿宋" w:cs="仿宋"/>
          <w:bCs/>
          <w:color w:val="000000"/>
          <w:sz w:val="24"/>
        </w:rPr>
        <w:t>小企业依据46号文规定的政策获取政府采购合同后，小型、微型企业不得分包或转包给大型、中型企业，中型企业不得分包或转包给大型企业。</w:t>
      </w:r>
    </w:p>
    <w:p w14:paraId="67433D93">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sz w:val="24"/>
        </w:rPr>
        <w:t>（3）政</w:t>
      </w:r>
      <w:r>
        <w:rPr>
          <w:rFonts w:hint="eastAsia" w:ascii="仿宋" w:hAnsi="仿宋" w:eastAsia="仿宋" w:cs="仿宋"/>
          <w:bCs/>
          <w:color w:val="000000"/>
          <w:sz w:val="24"/>
        </w:rPr>
        <w:t>府采购监督检查、投诉处理及政府采购行政处罚中对中小企业的认定，由货物制造商或者工程、服务供应商注册登记所在地的县级以上人民政府中小企业主管部门负责。</w:t>
      </w:r>
    </w:p>
    <w:p w14:paraId="63A310EA">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7.2节能产品政策</w:t>
      </w:r>
    </w:p>
    <w:p w14:paraId="7F135F8D">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根据《财政部、发展改革委、生态环境部、市场监管总局关于调整优化节能产品、环境标志产品政府采购执行机制的通知》（财库〔2019〕9号）和《财政部、发展改革委关于印发节能产品政府采购品目清单的通知》（财库〔2019〕19号）， 拟采购的产品属于节能产品品目清单范围内的，在技术、服务等指标同等条件下，采购人及其委托的采购代理机构将依据国家确定的认证机构出具的、处于有效期之内的节能产品认证证书，对获得证书的产品实施政府优先采购或强制采购。</w:t>
      </w:r>
    </w:p>
    <w:p w14:paraId="4B00750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（2）参加政府采购活动的节能产品供应商应当提供国家确定的认证机构出具的、处于有效期之内的节能产品认证证书。</w:t>
      </w:r>
    </w:p>
    <w:p w14:paraId="4E3654A8">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7.3环境标志产品政策</w:t>
      </w:r>
    </w:p>
    <w:p w14:paraId="351F141B">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根据《财政部、发展改革委、生态环境部、市场监管总局关于调整优化节能产品、环境标志产品政府采购执行机制的通知》（财库〔2019〕9号）和《财政部、生态环境部关于印发环境标志产品政府采购品目清单的通知》（财库〔2019〕18号）， 拟采购的产品属于环境标志产品品目清单范围内的，在技术、服务等指标同等条件下，采购人及其委托的采购代理机构将依据国家确定的认证机构出具的、处于有效期之内的环境标志产品认证证书，对获得证书的产品实施政府优先采购或强制采购。</w:t>
      </w:r>
    </w:p>
    <w:p w14:paraId="2F7210EF">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（2）参加政府采购活动的环境标志产品供应商应当提供国家确定的认证机构出具的、处于有效期之内的环境标志产品认证证书。</w:t>
      </w:r>
    </w:p>
    <w:p w14:paraId="063CCBDF">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7.4进口产品政策</w:t>
      </w:r>
    </w:p>
    <w:p w14:paraId="6AA848D9">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（1）除磋商公告载明接受进口产品参加外，不允许进口产品参加。进口产品认定依照《财政部关于政府采购进口产品管理有关问题的通知》（财办库〔2008〕248号）的规定。</w:t>
      </w:r>
    </w:p>
    <w:p w14:paraId="7AD05BBF">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（2）允许进口产品参加的，满足需求的国内产品可以参加。</w:t>
      </w:r>
    </w:p>
    <w:p w14:paraId="6A847A8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（3）允许进口产品参加的，优先采购向我国企业转让技术、与我国企业签订消化吸收再创新方案的供应商的进口产品。</w:t>
      </w:r>
    </w:p>
    <w:p w14:paraId="4ABE8A33">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7.5未按要求提供相关材料的，不享受相关政策。</w:t>
      </w:r>
    </w:p>
    <w:p w14:paraId="7C6C17C9">
      <w:pPr>
        <w:snapToGrid w:val="0"/>
        <w:spacing w:line="360" w:lineRule="auto"/>
        <w:ind w:firstLine="562" w:firstLineChars="200"/>
        <w:outlineLvl w:val="1"/>
        <w:rPr>
          <w:rFonts w:ascii="仿宋" w:hAnsi="仿宋" w:eastAsia="仿宋" w:cs="仿宋"/>
          <w:b/>
          <w:color w:val="000000"/>
          <w:sz w:val="28"/>
          <w:szCs w:val="22"/>
        </w:rPr>
      </w:pPr>
      <w:bookmarkStart w:id="65" w:name="_Toc8875"/>
      <w:bookmarkStart w:id="66" w:name="_Toc7399"/>
      <w:bookmarkStart w:id="67" w:name="_Toc17306"/>
      <w:r>
        <w:rPr>
          <w:rFonts w:hint="eastAsia" w:ascii="仿宋" w:hAnsi="仿宋" w:eastAsia="仿宋" w:cs="仿宋"/>
          <w:b/>
          <w:color w:val="000000"/>
          <w:sz w:val="28"/>
          <w:szCs w:val="22"/>
        </w:rPr>
        <w:t>二、磋商响应文件的编制</w:t>
      </w:r>
      <w:bookmarkEnd w:id="54"/>
      <w:bookmarkEnd w:id="55"/>
      <w:bookmarkEnd w:id="56"/>
      <w:bookmarkEnd w:id="57"/>
      <w:bookmarkEnd w:id="58"/>
      <w:bookmarkEnd w:id="59"/>
      <w:bookmarkEnd w:id="60"/>
      <w:bookmarkEnd w:id="65"/>
      <w:bookmarkEnd w:id="66"/>
      <w:bookmarkEnd w:id="67"/>
    </w:p>
    <w:p w14:paraId="7CEAED11">
      <w:pPr>
        <w:snapToGrid w:val="0"/>
        <w:spacing w:line="360" w:lineRule="auto"/>
        <w:ind w:firstLine="482" w:firstLineChars="200"/>
        <w:rPr>
          <w:rFonts w:ascii="仿宋" w:hAnsi="仿宋" w:eastAsia="仿宋" w:cs="仿宋"/>
          <w:b/>
          <w:color w:val="000000"/>
          <w:sz w:val="24"/>
        </w:rPr>
      </w:pPr>
      <w:bookmarkStart w:id="68" w:name="_Toc14577361"/>
      <w:bookmarkStart w:id="69" w:name="_Toc61149561"/>
      <w:bookmarkStart w:id="70" w:name="_Toc513029223"/>
      <w:r>
        <w:rPr>
          <w:rFonts w:hint="eastAsia" w:ascii="仿宋" w:hAnsi="仿宋" w:eastAsia="仿宋" w:cs="仿宋"/>
          <w:b/>
          <w:color w:val="000000"/>
          <w:sz w:val="24"/>
        </w:rPr>
        <w:t>1、磋商响应文件份数和签署</w:t>
      </w:r>
      <w:bookmarkEnd w:id="68"/>
      <w:bookmarkEnd w:id="69"/>
      <w:bookmarkEnd w:id="70"/>
    </w:p>
    <w:p w14:paraId="032C4439">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1.1供应商应严格按照磋商邀请要求准备磋商响应文件（以下简称响应文件），每份响应文件须清楚地标明“正本”或“副本”字样。</w:t>
      </w:r>
    </w:p>
    <w:p w14:paraId="1F572C2F">
      <w:pPr>
        <w:snapToGrid w:val="0"/>
        <w:spacing w:line="360" w:lineRule="auto"/>
        <w:ind w:firstLine="482" w:firstLineChars="200"/>
        <w:rPr>
          <w:rFonts w:ascii="仿宋" w:hAnsi="仿宋" w:eastAsia="仿宋" w:cs="仿宋"/>
          <w:b/>
          <w:color w:val="000000"/>
          <w:sz w:val="24"/>
          <w:u w:val="single"/>
        </w:rPr>
      </w:pPr>
      <w:r>
        <w:rPr>
          <w:rFonts w:hint="eastAsia" w:ascii="仿宋" w:hAnsi="仿宋" w:eastAsia="仿宋" w:cs="仿宋"/>
          <w:b/>
          <w:color w:val="000000"/>
          <w:sz w:val="24"/>
          <w:u w:val="single"/>
        </w:rPr>
        <w:t>响应文件的正本和所有的副本应当打印或复印或用不褪色墨水书写并装订成册。</w:t>
      </w:r>
      <w:r>
        <w:rPr>
          <w:rFonts w:hint="eastAsia" w:ascii="仿宋" w:hAnsi="仿宋" w:eastAsia="仿宋" w:cs="仿宋"/>
          <w:b/>
          <w:i/>
          <w:iCs/>
          <w:color w:val="000000"/>
          <w:sz w:val="24"/>
          <w:u w:val="single"/>
        </w:rPr>
        <w:t>（建议胶装）</w:t>
      </w:r>
    </w:p>
    <w:p w14:paraId="6D3F339D">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响应文件正本中，除磋商文件规定的可提交复印件外，其他文件均须提交原件，文字材料需打印或用不褪色墨水书写，响应文件正本须经法定代表人或授权代表签字和加盖供应商公章。</w:t>
      </w:r>
      <w:r>
        <w:rPr>
          <w:rFonts w:hint="eastAsia" w:ascii="仿宋" w:hAnsi="仿宋" w:eastAsia="仿宋" w:cs="仿宋"/>
          <w:b/>
          <w:i/>
          <w:iCs/>
          <w:color w:val="000000"/>
          <w:sz w:val="24"/>
          <w:u w:val="single"/>
        </w:rPr>
        <w:t>本磋商文件所表述（指定）的公章是指刻有供应商法定名称的印章，不包括合同、财务、税务、发票等形式的业务专用章。</w:t>
      </w:r>
    </w:p>
    <w:p w14:paraId="58BCB579">
      <w:pPr>
        <w:snapToGrid w:val="0"/>
        <w:spacing w:line="360" w:lineRule="auto"/>
        <w:ind w:firstLine="480" w:firstLineChars="200"/>
        <w:rPr>
          <w:rFonts w:ascii="仿宋" w:hAnsi="仿宋" w:eastAsia="仿宋" w:cs="仿宋"/>
          <w:color w:val="000000"/>
        </w:rPr>
      </w:pPr>
      <w:r>
        <w:rPr>
          <w:rFonts w:hint="eastAsia" w:ascii="仿宋" w:hAnsi="仿宋" w:eastAsia="仿宋" w:cs="仿宋"/>
          <w:bCs/>
          <w:color w:val="000000"/>
          <w:sz w:val="24"/>
        </w:rPr>
        <w:t>1.2 除供应商对错处做必要修改外，响应文件不得行间插字、涂改或增删。如有修改错漏处，必须由响应文件签署人签字或盖章。</w:t>
      </w:r>
    </w:p>
    <w:p w14:paraId="5C004E7E">
      <w:pPr>
        <w:snapToGrid w:val="0"/>
        <w:spacing w:line="360" w:lineRule="auto"/>
        <w:ind w:firstLine="482" w:firstLineChars="200"/>
        <w:rPr>
          <w:rFonts w:ascii="仿宋" w:hAnsi="仿宋" w:eastAsia="仿宋" w:cs="仿宋"/>
          <w:bCs/>
          <w:color w:val="000000"/>
          <w:sz w:val="24"/>
        </w:rPr>
      </w:pPr>
      <w:r>
        <w:rPr>
          <w:rFonts w:hint="eastAsia" w:ascii="仿宋" w:hAnsi="仿宋" w:eastAsia="仿宋" w:cs="仿宋"/>
          <w:b/>
          <w:color w:val="000000"/>
          <w:sz w:val="24"/>
        </w:rPr>
        <w:t>2、响应文件编制要求</w:t>
      </w:r>
    </w:p>
    <w:p w14:paraId="1131B93B">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2.1供应商提交的响应文件以及供应商与采购代理机构及采购人就有关磋商的所有来往函电均应使用简体中文。磋商文件中既有中文也有外文的，以中文意译为准。</w:t>
      </w:r>
    </w:p>
    <w:p w14:paraId="68CA032F">
      <w:pPr>
        <w:spacing w:line="360" w:lineRule="auto"/>
        <w:ind w:firstLine="480" w:firstLineChars="200"/>
        <w:jc w:val="left"/>
        <w:rPr>
          <w:rFonts w:ascii="仿宋" w:hAnsi="仿宋" w:eastAsia="仿宋" w:cs="仿宋"/>
          <w:bCs/>
          <w:sz w:val="24"/>
        </w:rPr>
      </w:pPr>
      <w:r>
        <w:rPr>
          <w:rFonts w:hint="eastAsia" w:ascii="仿宋" w:hAnsi="仿宋" w:eastAsia="仿宋" w:cs="仿宋"/>
          <w:bCs/>
          <w:color w:val="000000"/>
          <w:sz w:val="24"/>
        </w:rPr>
        <w:t>2.2 除</w:t>
      </w:r>
      <w:r>
        <w:rPr>
          <w:rFonts w:hint="eastAsia" w:ascii="仿宋" w:hAnsi="仿宋" w:eastAsia="仿宋" w:cs="仿宋"/>
          <w:bCs/>
          <w:sz w:val="24"/>
        </w:rPr>
        <w:t>技术性能另有规定外，响应文件所使用的度量衡单位，均须采用国家法定计量单位。</w:t>
      </w:r>
    </w:p>
    <w:p w14:paraId="1B328A2B">
      <w:pPr>
        <w:spacing w:line="440" w:lineRule="exact"/>
        <w:ind w:firstLine="480" w:firstLineChars="200"/>
        <w:jc w:val="left"/>
        <w:rPr>
          <w:rFonts w:ascii="仿宋" w:hAnsi="仿宋" w:eastAsia="仿宋" w:cs="仿宋"/>
          <w:b/>
          <w:bCs/>
          <w:color w:val="000000"/>
          <w:sz w:val="24"/>
          <w:szCs w:val="24"/>
        </w:rPr>
      </w:pPr>
      <w:r>
        <w:rPr>
          <w:rFonts w:hint="eastAsia" w:ascii="仿宋" w:hAnsi="仿宋" w:eastAsia="仿宋" w:cs="仿宋"/>
          <w:bCs/>
          <w:sz w:val="24"/>
        </w:rPr>
        <w:t>2.3 响应文件由商务部分、技术部分、价格部分，以及其他部分组成。供应商编写的响应文件应包括资信证明文件、采购配置与报价明细表、技术参数响应及偏离表、商务条款响应及偏离表、技术及售后服务承诺书、磋商函、报价一览表等部分；供应商应当根据磋商文件要求编制响应文件，响应文件应对磋商文件提出的要求和条件作出实质性响应，并在《商务要求响应表》和《服务要求响应表》等处逐条标明满足与否。</w:t>
      </w:r>
      <w:r>
        <w:rPr>
          <w:rFonts w:hint="eastAsia" w:ascii="仿宋" w:hAnsi="仿宋" w:eastAsia="仿宋" w:cs="仿宋"/>
          <w:b/>
          <w:bCs/>
          <w:i/>
          <w:iCs/>
          <w:sz w:val="24"/>
          <w:szCs w:val="24"/>
          <w:u w:val="single"/>
        </w:rPr>
        <w:t>项目需求中标记为核心参数（或实质性技术或服务要求）或带星号（“★”）的核心技术指标不允许偏离，如存在负偏离作无效响应处理；标记为重要参数（或技术要求）或带（“▲”）的技术条款均为重要指标。</w:t>
      </w:r>
      <w:r>
        <w:rPr>
          <w:rFonts w:hint="eastAsia" w:ascii="仿宋" w:hAnsi="仿宋" w:eastAsia="仿宋" w:cs="仿宋"/>
          <w:b/>
          <w:bCs/>
          <w:i/>
          <w:iCs/>
          <w:color w:val="000000" w:themeColor="text1"/>
          <w:sz w:val="24"/>
          <w:szCs w:val="24"/>
          <w:u w:val="single"/>
          <w14:textFill>
            <w14:solidFill>
              <w14:schemeClr w14:val="tx1"/>
            </w14:solidFill>
          </w14:textFill>
        </w:rPr>
        <w:t>项目需求中</w:t>
      </w:r>
      <w:r>
        <w:rPr>
          <w:rFonts w:hint="eastAsia" w:ascii="仿宋" w:hAnsi="仿宋" w:eastAsia="仿宋" w:cs="仿宋"/>
          <w:b/>
          <w:bCs/>
          <w:i/>
          <w:iCs/>
          <w:sz w:val="24"/>
          <w:szCs w:val="24"/>
          <w:u w:val="single"/>
        </w:rPr>
        <w:t>技术条款均必须在响应文件中提供技术支持资料（如项目需求中要求的证明材料；技术白皮书、产品彩页、产品手册、检测报告等），未提供技术支持资料的，评审时做负偏离处理。</w:t>
      </w:r>
    </w:p>
    <w:p w14:paraId="1EDD92EA">
      <w:pPr>
        <w:spacing w:line="360" w:lineRule="auto"/>
        <w:ind w:firstLine="482" w:firstLineChars="200"/>
        <w:jc w:val="left"/>
        <w:rPr>
          <w:rFonts w:ascii="仿宋" w:hAnsi="仿宋" w:eastAsia="仿宋" w:cs="仿宋"/>
          <w:b/>
          <w:bCs/>
          <w:color w:val="000000"/>
          <w:sz w:val="24"/>
          <w:szCs w:val="24"/>
        </w:rPr>
      </w:pPr>
      <w:r>
        <w:rPr>
          <w:rFonts w:hint="eastAsia" w:ascii="仿宋" w:hAnsi="仿宋" w:eastAsia="仿宋" w:cs="仿宋"/>
          <w:b/>
          <w:bCs/>
          <w:color w:val="000000"/>
          <w:sz w:val="24"/>
          <w:szCs w:val="24"/>
        </w:rPr>
        <w:t>响应文件的商务部分</w:t>
      </w:r>
    </w:p>
    <w:p w14:paraId="035657E2">
      <w:pPr>
        <w:spacing w:line="440" w:lineRule="exact"/>
        <w:ind w:firstLine="480" w:firstLineChars="200"/>
        <w:jc w:val="left"/>
        <w:rPr>
          <w:rFonts w:ascii="仿宋" w:hAnsi="仿宋" w:eastAsia="仿宋" w:cs="仿宋"/>
          <w:b/>
          <w:bCs/>
          <w:color w:val="000000"/>
          <w:sz w:val="24"/>
          <w:szCs w:val="24"/>
        </w:rPr>
      </w:pPr>
      <w:r>
        <w:rPr>
          <w:rFonts w:hint="eastAsia" w:ascii="仿宋" w:hAnsi="仿宋" w:eastAsia="仿宋" w:cs="仿宋"/>
          <w:color w:val="000000"/>
          <w:sz w:val="24"/>
          <w:szCs w:val="24"/>
        </w:rPr>
        <w:t>商务部分是证明供应商有资格参加磋商和成交后有能力履行合同的文件，这些文件应能满足磋商的要求，包括但不限于下列文件，</w:t>
      </w:r>
      <w:r>
        <w:rPr>
          <w:rFonts w:hint="eastAsia" w:ascii="仿宋" w:hAnsi="仿宋" w:eastAsia="仿宋" w:cs="仿宋"/>
          <w:b/>
          <w:bCs/>
          <w:sz w:val="24"/>
          <w:szCs w:val="24"/>
        </w:rPr>
        <w:t>其中加※项目为实质性要求不得有缺失或无效，否则按无效响应处理</w:t>
      </w:r>
      <w:r>
        <w:rPr>
          <w:rFonts w:hint="eastAsia" w:ascii="仿宋" w:hAnsi="仿宋" w:eastAsia="仿宋" w:cs="仿宋"/>
          <w:b/>
          <w:bCs/>
          <w:color w:val="000000"/>
          <w:sz w:val="24"/>
          <w:szCs w:val="24"/>
        </w:rPr>
        <w:t>。</w:t>
      </w:r>
    </w:p>
    <w:p w14:paraId="03EAAA3B">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（1）</w:t>
      </w:r>
      <w:r>
        <w:rPr>
          <w:rFonts w:hint="eastAsia" w:ascii="仿宋" w:hAnsi="仿宋" w:eastAsia="仿宋" w:cs="仿宋"/>
          <w:b/>
          <w:bCs/>
          <w:color w:val="000000"/>
          <w:sz w:val="24"/>
          <w:szCs w:val="24"/>
        </w:rPr>
        <w:t xml:space="preserve">※ </w:t>
      </w:r>
      <w:r>
        <w:rPr>
          <w:rFonts w:hint="eastAsia" w:ascii="仿宋" w:hAnsi="仿宋" w:eastAsia="仿宋" w:cs="仿宋"/>
          <w:color w:val="000000"/>
          <w:sz w:val="24"/>
          <w:szCs w:val="24"/>
        </w:rPr>
        <w:t>磋商函（磋商申请及声明）；</w:t>
      </w:r>
    </w:p>
    <w:p w14:paraId="51F6597F">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b/>
          <w:bCs/>
          <w:color w:val="000000"/>
          <w:sz w:val="24"/>
          <w:szCs w:val="24"/>
        </w:rPr>
        <w:t xml:space="preserve">※ </w:t>
      </w:r>
      <w:r>
        <w:rPr>
          <w:rFonts w:hint="eastAsia" w:ascii="仿宋" w:hAnsi="仿宋" w:eastAsia="仿宋" w:cs="仿宋"/>
          <w:color w:val="000000"/>
          <w:sz w:val="24"/>
          <w:szCs w:val="24"/>
        </w:rPr>
        <w:t>法定代表人授权委托书及委托代理人的身份证复印件；</w:t>
      </w:r>
    </w:p>
    <w:p w14:paraId="78B54F49">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（3）</w:t>
      </w:r>
      <w:r>
        <w:rPr>
          <w:rFonts w:hint="eastAsia" w:ascii="仿宋" w:hAnsi="仿宋" w:eastAsia="仿宋" w:cs="仿宋"/>
          <w:b/>
          <w:bCs/>
          <w:color w:val="000000"/>
          <w:sz w:val="24"/>
          <w:szCs w:val="24"/>
        </w:rPr>
        <w:t>※</w:t>
      </w:r>
      <w:r>
        <w:rPr>
          <w:rFonts w:hint="eastAsia" w:ascii="仿宋" w:hAnsi="仿宋" w:eastAsia="仿宋" w:cs="仿宋"/>
          <w:color w:val="000000"/>
          <w:sz w:val="24"/>
          <w:szCs w:val="24"/>
        </w:rPr>
        <w:t>《报价一览表》；</w:t>
      </w:r>
    </w:p>
    <w:p w14:paraId="7948E7D8">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（4）</w:t>
      </w:r>
      <w:r>
        <w:rPr>
          <w:rFonts w:hint="eastAsia" w:ascii="仿宋" w:hAnsi="仿宋" w:eastAsia="仿宋" w:cs="仿宋"/>
          <w:b/>
          <w:bCs/>
          <w:color w:val="000000"/>
          <w:sz w:val="24"/>
          <w:szCs w:val="24"/>
        </w:rPr>
        <w:t>※</w:t>
      </w:r>
      <w:r>
        <w:rPr>
          <w:rFonts w:hint="eastAsia" w:ascii="仿宋" w:hAnsi="仿宋" w:eastAsia="仿宋" w:cs="仿宋"/>
          <w:color w:val="000000"/>
          <w:sz w:val="24"/>
          <w:szCs w:val="24"/>
        </w:rPr>
        <w:t>《报价明细表》；</w:t>
      </w:r>
    </w:p>
    <w:p w14:paraId="2A99CC7A">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（5）</w:t>
      </w:r>
      <w:r>
        <w:rPr>
          <w:rFonts w:hint="eastAsia" w:ascii="仿宋" w:hAnsi="仿宋" w:eastAsia="仿宋" w:cs="仿宋"/>
          <w:b/>
          <w:bCs/>
          <w:color w:val="000000"/>
          <w:sz w:val="24"/>
          <w:szCs w:val="24"/>
        </w:rPr>
        <w:t>※</w:t>
      </w:r>
      <w:r>
        <w:rPr>
          <w:rFonts w:hint="eastAsia" w:ascii="仿宋" w:hAnsi="仿宋" w:eastAsia="仿宋" w:cs="仿宋"/>
          <w:color w:val="000000"/>
          <w:sz w:val="24"/>
          <w:szCs w:val="24"/>
        </w:rPr>
        <w:t>第一章磋商邀请中《中华人民共和国政府采购法》规定的资格条件证明文件；</w:t>
      </w:r>
    </w:p>
    <w:p w14:paraId="30AE8F9C">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（6）</w:t>
      </w:r>
      <w:r>
        <w:rPr>
          <w:rFonts w:hint="eastAsia" w:ascii="仿宋" w:hAnsi="仿宋" w:eastAsia="仿宋" w:cs="仿宋"/>
          <w:b/>
          <w:bCs/>
          <w:color w:val="000000"/>
          <w:sz w:val="24"/>
          <w:szCs w:val="24"/>
        </w:rPr>
        <w:t>※</w:t>
      </w:r>
      <w:r>
        <w:rPr>
          <w:rFonts w:hint="eastAsia" w:ascii="仿宋" w:hAnsi="仿宋" w:eastAsia="仿宋" w:cs="仿宋"/>
          <w:color w:val="000000"/>
          <w:sz w:val="24"/>
          <w:szCs w:val="24"/>
        </w:rPr>
        <w:t>第一章磋商邀请中采购人根据采购项目的特殊要求规定的特定条件证明文件；</w:t>
      </w:r>
    </w:p>
    <w:p w14:paraId="091F86D7">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（7）《商务要求响应表》；</w:t>
      </w:r>
    </w:p>
    <w:p w14:paraId="1575E820">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（8）供应商认为需要提供的其他资格证明文件和商务资料等。</w:t>
      </w:r>
    </w:p>
    <w:p w14:paraId="6E069403">
      <w:pPr>
        <w:spacing w:line="360" w:lineRule="auto"/>
        <w:ind w:firstLine="482" w:firstLineChars="200"/>
        <w:jc w:val="left"/>
        <w:rPr>
          <w:rFonts w:ascii="仿宋" w:hAnsi="仿宋" w:eastAsia="仿宋" w:cs="仿宋"/>
          <w:b/>
          <w:bCs/>
          <w:color w:val="000000"/>
          <w:sz w:val="24"/>
          <w:szCs w:val="24"/>
        </w:rPr>
      </w:pPr>
      <w:r>
        <w:rPr>
          <w:rFonts w:hint="eastAsia" w:ascii="仿宋" w:hAnsi="仿宋" w:eastAsia="仿宋" w:cs="仿宋"/>
          <w:b/>
          <w:bCs/>
          <w:color w:val="000000"/>
          <w:sz w:val="24"/>
          <w:szCs w:val="24"/>
        </w:rPr>
        <w:t>响应文件的技术部分</w:t>
      </w:r>
    </w:p>
    <w:p w14:paraId="5B5461BF">
      <w:pPr>
        <w:spacing w:line="44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技术部分是证明供应商提供的产品或服务是合格的、并符合磋商文件要求的证明文件，以及对响应报价表中的服务的详细说明，这些文件可以是文字资料、图纸和数据等。响应文件应按照磋商文件要求提供技术资料、文件和有关证明，包括但不限于下列文件，</w:t>
      </w:r>
      <w:r>
        <w:rPr>
          <w:rFonts w:hint="eastAsia" w:ascii="仿宋" w:hAnsi="仿宋" w:eastAsia="仿宋" w:cs="仿宋"/>
          <w:b/>
          <w:bCs/>
          <w:sz w:val="24"/>
          <w:szCs w:val="24"/>
        </w:rPr>
        <w:t>其中加※项目为实质性要求不得有缺失或无效，否则按无效响应处理</w:t>
      </w:r>
      <w:r>
        <w:rPr>
          <w:rFonts w:hint="eastAsia" w:ascii="仿宋" w:hAnsi="仿宋" w:eastAsia="仿宋" w:cs="仿宋"/>
          <w:b/>
          <w:bCs/>
          <w:color w:val="000000"/>
          <w:sz w:val="24"/>
          <w:szCs w:val="24"/>
        </w:rPr>
        <w:t>。</w:t>
      </w:r>
    </w:p>
    <w:p w14:paraId="5875F0CC">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（1）</w:t>
      </w:r>
      <w:r>
        <w:rPr>
          <w:rFonts w:hint="eastAsia" w:ascii="仿宋" w:hAnsi="仿宋" w:eastAsia="仿宋" w:cs="仿宋"/>
          <w:b/>
          <w:bCs/>
          <w:color w:val="000000"/>
          <w:sz w:val="24"/>
          <w:szCs w:val="24"/>
        </w:rPr>
        <w:t>※</w:t>
      </w:r>
      <w:r>
        <w:rPr>
          <w:rFonts w:hint="eastAsia" w:ascii="仿宋" w:hAnsi="仿宋" w:eastAsia="仿宋" w:cs="仿宋"/>
          <w:color w:val="000000"/>
          <w:sz w:val="24"/>
          <w:szCs w:val="24"/>
        </w:rPr>
        <w:t>项目实施方案；</w:t>
      </w:r>
    </w:p>
    <w:p w14:paraId="1F6B6DBA">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b/>
          <w:bCs/>
          <w:color w:val="000000"/>
          <w:sz w:val="24"/>
          <w:szCs w:val="24"/>
        </w:rPr>
        <w:t>※</w:t>
      </w:r>
      <w:r>
        <w:rPr>
          <w:rFonts w:hint="eastAsia" w:ascii="仿宋" w:hAnsi="仿宋" w:eastAsia="仿宋" w:cs="仿宋"/>
          <w:color w:val="000000"/>
          <w:sz w:val="24"/>
          <w:szCs w:val="24"/>
        </w:rPr>
        <w:t>《服务要求响应表》；</w:t>
      </w:r>
    </w:p>
    <w:p w14:paraId="3E296C71">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（3）履约能力及综合实力；</w:t>
      </w:r>
    </w:p>
    <w:p w14:paraId="4D164AB0">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（4）售后服务方案与承诺；</w:t>
      </w:r>
    </w:p>
    <w:p w14:paraId="67AA68E9">
      <w:pPr>
        <w:spacing w:line="360" w:lineRule="auto"/>
        <w:ind w:firstLine="480" w:firstLineChars="200"/>
        <w:jc w:val="left"/>
        <w:rPr>
          <w:rFonts w:ascii="仿宋" w:hAnsi="仿宋" w:eastAsia="仿宋" w:cs="仿宋"/>
          <w:color w:val="000000"/>
        </w:rPr>
      </w:pPr>
      <w:r>
        <w:rPr>
          <w:rFonts w:hint="eastAsia" w:ascii="仿宋" w:hAnsi="仿宋" w:eastAsia="仿宋" w:cs="仿宋"/>
          <w:color w:val="000000"/>
          <w:sz w:val="24"/>
          <w:szCs w:val="24"/>
        </w:rPr>
        <w:t>（5）技术团队配置；</w:t>
      </w:r>
    </w:p>
    <w:p w14:paraId="1EBDD0E6">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（6）供应商认为需要提供的其他技术资料。</w:t>
      </w:r>
    </w:p>
    <w:p w14:paraId="3BC80726">
      <w:pPr>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2.4 供应商应将响应文件按顺序装订成册，并编制响应文件资料目录。</w:t>
      </w:r>
    </w:p>
    <w:p w14:paraId="0D011359">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3、参加供应商资格的文件证明</w:t>
      </w:r>
    </w:p>
    <w:p w14:paraId="3629A8B1">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3.1供应商应提交证明其有资格参加磋商和成交后有能力独立履行合同的文件，并作为其响应文件的一部分。</w:t>
      </w:r>
    </w:p>
    <w:p w14:paraId="266D74AA">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3.2供应商除必须具有履行合同所需提供的设备以及服务的能力外，还必须具备相应的财务、技术方面的能力。</w:t>
      </w:r>
    </w:p>
    <w:p w14:paraId="51704166">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3.3供应商应填写并提交磋商文件所附的“资格证明文件”。</w:t>
      </w:r>
    </w:p>
    <w:p w14:paraId="3A3FA9C9">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4、磋商响应报价表</w:t>
      </w:r>
    </w:p>
    <w:p w14:paraId="0839E7FE">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4.1供应商应按照磋商文件规定格式填报磋商响应报价表(报价一览表）。每项产品或服务只允许有一个报价，任何有选择的报价或备选方案（每项产品多品牌报价或每项服务多方案报价）将不予接受，磋商文件中另有规定的按规定执行。</w:t>
      </w:r>
    </w:p>
    <w:p w14:paraId="47A2F9DE">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4.2标的物</w:t>
      </w:r>
    </w:p>
    <w:p w14:paraId="6B12136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详见采购需求所述要求。</w:t>
      </w:r>
    </w:p>
    <w:p w14:paraId="45BAC6C7">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4.3有关费用处理</w:t>
      </w:r>
    </w:p>
    <w:p w14:paraId="581A13CB">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4.3.1货物（工程）类：磋商报价采用总承包方式，供应商的报价应包含货物设计、制造、包装、仓储、运输装卸、保险、安装、调试及其材料及验收合格之前保管及运行维护费用、保修期内备品备件、专用工具、伴随服务、技术图纸资料、人员培训发生的所有含税费用、支付给员工的工资和国家强制缴纳的各种社会保障资金，国际国内运输保险、报关清关、开证、办理全套免税手续费及其他（如因中美贸易战或其他不可控因素导致的关税增加）等为完成本项目发生的所有费用，采购文件中另有规定的除外。</w:t>
      </w:r>
    </w:p>
    <w:p w14:paraId="47BBE31F">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4.3.2服务类：磋商报价采用固定总价方式，供应商的报价应包含完成服务项目必要的工具采购费用和研发费用、成果鉴定或论证费用、支付给员工的工资和国家强制缴纳的各种社会保障资金，全部售后服务等为完成本项目发生的所有费用，磋商文件中另有规定的除外。</w:t>
      </w:r>
    </w:p>
    <w:p w14:paraId="779E81B5">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4.4其他费用处理</w:t>
      </w:r>
    </w:p>
    <w:p w14:paraId="22904E8D">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磋商文件未列明，而供应商认为必须的费用也须列入报价。</w:t>
      </w:r>
    </w:p>
    <w:p w14:paraId="6553C2FD">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4.5报价采用的货币</w:t>
      </w:r>
    </w:p>
    <w:p w14:paraId="5256685D">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响应文件中的单价和总价，无特殊规定的采用人民币报价，以元为单位标注。磋商文件中另有规定的按规定执行。</w:t>
      </w:r>
    </w:p>
    <w:p w14:paraId="209E1915">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4.6 磋商响应报价表上的价格应按磋商文件规定填写。</w:t>
      </w:r>
    </w:p>
    <w:p w14:paraId="1F48E0AA">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5、项目需求响应方案</w:t>
      </w:r>
    </w:p>
    <w:p w14:paraId="11B30697">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5.1提供为完成本项目的总体实施方案。</w:t>
      </w:r>
    </w:p>
    <w:p w14:paraId="3AE5402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5.2对磋商文件中项目需求的技术与商务条款要求逐项作出应答，并提供依据或说明。</w:t>
      </w:r>
    </w:p>
    <w:p w14:paraId="1E03C905">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5.3供应商认为需要的其他技术文件或说明。</w:t>
      </w:r>
    </w:p>
    <w:p w14:paraId="3F6CC8C0">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6、磋商保证金</w:t>
      </w:r>
    </w:p>
    <w:p w14:paraId="7985D792">
      <w:pPr>
        <w:snapToGrid w:val="0"/>
        <w:spacing w:line="360" w:lineRule="auto"/>
        <w:ind w:firstLine="480" w:firstLineChars="200"/>
      </w:pPr>
      <w:r>
        <w:rPr>
          <w:rFonts w:hint="eastAsia" w:ascii="仿宋" w:hAnsi="仿宋" w:eastAsia="仿宋" w:cs="仿宋"/>
          <w:bCs/>
          <w:color w:val="000000"/>
          <w:sz w:val="24"/>
        </w:rPr>
        <w:t>6.1本项目不收取磋商保证金。</w:t>
      </w:r>
    </w:p>
    <w:p w14:paraId="24741F35">
      <w:pPr>
        <w:pStyle w:val="30"/>
        <w:numPr>
          <w:ilvl w:val="255"/>
          <w:numId w:val="0"/>
        </w:numPr>
        <w:spacing w:line="360" w:lineRule="auto"/>
        <w:rPr>
          <w:rFonts w:ascii="仿宋" w:hAnsi="仿宋" w:eastAsia="仿宋" w:cs="仿宋"/>
          <w:color w:val="000000"/>
        </w:rPr>
      </w:pPr>
      <w:bookmarkStart w:id="71" w:name="_Toc9965"/>
      <w:bookmarkStart w:id="72" w:name="_Toc14295"/>
      <w:bookmarkStart w:id="73" w:name="_Toc14484_WPSOffice_Level2"/>
      <w:bookmarkStart w:id="74" w:name="_Toc18678"/>
      <w:bookmarkStart w:id="75" w:name="_Toc32556"/>
      <w:bookmarkStart w:id="76" w:name="_Toc20921"/>
      <w:bookmarkStart w:id="77" w:name="_Toc19091"/>
      <w:bookmarkStart w:id="78" w:name="_Toc29996"/>
      <w:r>
        <w:rPr>
          <w:rFonts w:hint="eastAsia" w:ascii="仿宋" w:hAnsi="仿宋" w:eastAsia="仿宋" w:cs="仿宋"/>
          <w:color w:val="000000"/>
        </w:rPr>
        <w:t>三、响应文件的递交</w:t>
      </w:r>
      <w:bookmarkEnd w:id="71"/>
      <w:bookmarkEnd w:id="72"/>
      <w:bookmarkEnd w:id="73"/>
      <w:bookmarkEnd w:id="74"/>
      <w:bookmarkEnd w:id="75"/>
      <w:bookmarkEnd w:id="76"/>
      <w:bookmarkEnd w:id="77"/>
      <w:bookmarkEnd w:id="78"/>
    </w:p>
    <w:p w14:paraId="15BCAD61">
      <w:pPr>
        <w:snapToGrid w:val="0"/>
        <w:spacing w:line="360" w:lineRule="auto"/>
        <w:ind w:firstLine="482" w:firstLineChars="200"/>
        <w:rPr>
          <w:rFonts w:ascii="仿宋" w:hAnsi="仿宋" w:eastAsia="仿宋" w:cs="仿宋"/>
          <w:bCs/>
          <w:color w:val="000000"/>
          <w:sz w:val="24"/>
        </w:rPr>
      </w:pPr>
      <w:r>
        <w:rPr>
          <w:rFonts w:hint="eastAsia" w:ascii="仿宋" w:hAnsi="仿宋" w:eastAsia="仿宋" w:cs="仿宋"/>
          <w:b/>
          <w:color w:val="000000"/>
          <w:sz w:val="24"/>
        </w:rPr>
        <w:t>1、响应文件的密封和标记</w:t>
      </w:r>
    </w:p>
    <w:p w14:paraId="37AD2AC6">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1.1供应商应严格按照磋商邀请要求的份数准备响应文件，每份响应文件须清楚地标明“正本”或“副本”字样。一旦正本和副本不符，以正本为准。供应商应将响应文件正本和所有副本密封。</w:t>
      </w:r>
    </w:p>
    <w:p w14:paraId="46EA6FC8">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1.2密封的响应文件应：</w:t>
      </w:r>
    </w:p>
    <w:p w14:paraId="04529BB1">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（1）按磋商邀请中注明的地址送达规定地点；</w:t>
      </w:r>
    </w:p>
    <w:p w14:paraId="6594A3B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（2）注明参加磋商项目名称、磋商文件编号及参加的分包号</w:t>
      </w:r>
      <w:r>
        <w:rPr>
          <w:rFonts w:hint="eastAsia" w:ascii="仿宋" w:hAnsi="仿宋" w:eastAsia="仿宋" w:cs="仿宋"/>
          <w:bCs/>
          <w:sz w:val="24"/>
        </w:rPr>
        <w:t>（如没有可不填写）；</w:t>
      </w:r>
    </w:p>
    <w:p w14:paraId="110E22FD">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（3）密封包装上应写明供应商名称和地址。</w:t>
      </w:r>
    </w:p>
    <w:p w14:paraId="4FAE1C44">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1.3如果密封包装未按要求密封和加写标记，采购代理机构对误投或过早启封概不负责。对由此造成提前开封的响应文件，其风险由供应商自行承担。</w:t>
      </w:r>
    </w:p>
    <w:p w14:paraId="5D7057E4">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2、响应文件的递交</w:t>
      </w:r>
    </w:p>
    <w:p w14:paraId="2CDDE50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2.1供应商提交响应文件的时间不得迟于本磋商文件规定的响应文件接收截止时间。</w:t>
      </w:r>
    </w:p>
    <w:p w14:paraId="3F5296E4">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2.2采购代理机构可通过修改磋商文件或书面通知的方式酌情推迟响应文件接收截止时间，在此情形下，供应商的所有权利和义务以及受制的响应文件接收截止时间均应以延长后新的响应文件接收截止时间为准。</w:t>
      </w:r>
    </w:p>
    <w:p w14:paraId="314B80D2">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3、迟交的响应文件</w:t>
      </w:r>
    </w:p>
    <w:p w14:paraId="5FD313A6">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3.1采购代理机构将拒绝在规定的响应文件接收截止时间后递交的响应文件。</w:t>
      </w:r>
    </w:p>
    <w:p w14:paraId="7E74185E">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4、响应文件的修改和撤回</w:t>
      </w:r>
    </w:p>
    <w:p w14:paraId="5E9AC2F1">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4.1供应商在递交响应文件后，可以修改或撤回其谈判响应文件，但这种修改和撤回，必须在规定的响应文件接收截止时间前，以书面形式送达指定地点。</w:t>
      </w:r>
    </w:p>
    <w:p w14:paraId="46BFB09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4.2供应商的修改或撤回通知书，应按本文件规定进行编制、密封、标记和发送，并应在封套上加注“修改”和“撤回”字样。</w:t>
      </w:r>
    </w:p>
    <w:p w14:paraId="07BABDB2">
      <w:pPr>
        <w:snapToGrid w:val="0"/>
        <w:spacing w:line="360" w:lineRule="auto"/>
        <w:ind w:firstLine="480" w:firstLineChars="200"/>
        <w:rPr>
          <w:rFonts w:ascii="仿宋" w:hAnsi="仿宋" w:eastAsia="仿宋" w:cs="仿宋"/>
          <w:bCs/>
          <w:sz w:val="24"/>
        </w:rPr>
      </w:pPr>
      <w:r>
        <w:rPr>
          <w:rFonts w:hint="eastAsia" w:ascii="仿宋" w:hAnsi="仿宋" w:eastAsia="仿宋" w:cs="仿宋"/>
          <w:bCs/>
          <w:color w:val="000000"/>
          <w:sz w:val="24"/>
        </w:rPr>
        <w:t xml:space="preserve">4.3 </w:t>
      </w:r>
      <w:r>
        <w:rPr>
          <w:rFonts w:hint="eastAsia" w:ascii="仿宋" w:hAnsi="仿宋" w:eastAsia="仿宋" w:cs="仿宋"/>
          <w:bCs/>
          <w:sz w:val="24"/>
        </w:rPr>
        <w:t>响应文件递交，在文件接收截止时间后，递交的文件不允许被撤回。</w:t>
      </w:r>
    </w:p>
    <w:p w14:paraId="7A985A49">
      <w:pPr>
        <w:snapToGrid w:val="0"/>
        <w:spacing w:line="360" w:lineRule="auto"/>
        <w:ind w:firstLine="480" w:firstLineChars="200"/>
      </w:pPr>
      <w:r>
        <w:rPr>
          <w:rFonts w:hint="eastAsia" w:ascii="仿宋" w:hAnsi="仿宋" w:eastAsia="仿宋" w:cs="仿宋"/>
          <w:bCs/>
          <w:sz w:val="24"/>
        </w:rPr>
        <w:t>4.4供应商在提交最终报价之前，可以根据磋商情况退出磋商。</w:t>
      </w:r>
    </w:p>
    <w:p w14:paraId="4BA71786">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5、磋商响应有效期</w:t>
      </w:r>
    </w:p>
    <w:p w14:paraId="762BA493">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5.1 磋商响应有效期为磋商文件中规定的响应文件接收截止时间起九十（90）天。响应文件中承诺的响应有效期应当不少于磋商文件中载明的磋商响应有效期。</w:t>
      </w:r>
    </w:p>
    <w:p w14:paraId="6DCE1EC3">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5.2 在特殊情况下，采购代理机构于原磋商响应有效期满之前，可向供应商提出延长磋商响应有效期的要求。这种要求与答复均应采用书面形式。供应商可以拒绝采购代理机构的这一要求而放弃磋商响应。同意延长磋商响应有效期的供应商既不能要求也不允许修改其响应文件。</w:t>
      </w:r>
    </w:p>
    <w:p w14:paraId="79095AA9">
      <w:pPr>
        <w:pStyle w:val="30"/>
        <w:numPr>
          <w:ilvl w:val="255"/>
          <w:numId w:val="0"/>
        </w:numPr>
        <w:spacing w:line="360" w:lineRule="auto"/>
        <w:rPr>
          <w:rFonts w:ascii="仿宋" w:hAnsi="仿宋" w:eastAsia="仿宋" w:cs="仿宋"/>
          <w:color w:val="000000"/>
        </w:rPr>
      </w:pPr>
      <w:bookmarkStart w:id="79" w:name="_Toc30195"/>
      <w:bookmarkStart w:id="80" w:name="_Toc4957"/>
      <w:bookmarkStart w:id="81" w:name="_Toc19230"/>
      <w:bookmarkStart w:id="82" w:name="_Toc24899_WPSOffice_Level2"/>
      <w:bookmarkStart w:id="83" w:name="_Toc4897"/>
      <w:bookmarkStart w:id="84" w:name="_Toc12647"/>
      <w:bookmarkStart w:id="85" w:name="_Toc2615"/>
      <w:bookmarkStart w:id="86" w:name="_Toc22360"/>
      <w:r>
        <w:rPr>
          <w:rFonts w:hint="eastAsia" w:ascii="仿宋" w:hAnsi="仿宋" w:eastAsia="仿宋" w:cs="仿宋"/>
          <w:color w:val="000000"/>
        </w:rPr>
        <w:t>四、磋商与评审</w:t>
      </w:r>
      <w:bookmarkEnd w:id="79"/>
      <w:bookmarkEnd w:id="80"/>
      <w:bookmarkEnd w:id="81"/>
      <w:bookmarkEnd w:id="82"/>
      <w:bookmarkEnd w:id="83"/>
      <w:bookmarkEnd w:id="84"/>
      <w:bookmarkEnd w:id="85"/>
      <w:bookmarkEnd w:id="86"/>
    </w:p>
    <w:p w14:paraId="631771C2">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1、磋商仪式</w:t>
      </w:r>
    </w:p>
    <w:p w14:paraId="27525B8E">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1.1采购代理机构将在磋商邀请中规定的时间和地点组织磋商开始仪式，仪式由采购代理机构主持，供应商应委派携带有效证件的代表准时参加，参加仪式的代表需签名以证明其出席。</w:t>
      </w:r>
    </w:p>
    <w:p w14:paraId="534F8A7B">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2、磋商小组</w:t>
      </w:r>
    </w:p>
    <w:p w14:paraId="1AA5CC17">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2.1 磋商开始仪式结束后，采购代理机构将立即组织磋商小组进行评审。</w:t>
      </w:r>
    </w:p>
    <w:p w14:paraId="49946573">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2.2 磋商小组由政府采购评审专家、采购人代表组成，且人员构成符合政府采购有关规定。</w:t>
      </w:r>
    </w:p>
    <w:p w14:paraId="7A0DAA33">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3、磋商评审过程的保密与公正</w:t>
      </w:r>
    </w:p>
    <w:p w14:paraId="6D9493B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3.1磋商小组、采购人和采购代理机构工作人员、相关监督人员等与评审工作有关的人员，对评审情况以及在评审过程中获悉的国家秘密、商业秘密负有保密责任。</w:t>
      </w:r>
    </w:p>
    <w:p w14:paraId="110656B4">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3.2在磋商评审过程中，供应商不得以任何行为影响磋商评审过程，否则其响应文件将被作为无效响应文件。</w:t>
      </w:r>
    </w:p>
    <w:p w14:paraId="45F217E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3.3磋商小组成员应当按照客观、公正、审慎的原则，根据磋商文件规定的评审程序、评审方法和评审标准进行独立评审。未响应磋商文件的实质性要求的或存在违反政府采购相关法律、法规情形的按无效响应处理，磋商小组</w:t>
      </w:r>
      <w:r>
        <w:rPr>
          <w:rFonts w:hint="eastAsia" w:ascii="仿宋" w:hAnsi="仿宋" w:eastAsia="仿宋" w:cs="仿宋"/>
          <w:b/>
          <w:bCs/>
          <w:sz w:val="24"/>
        </w:rPr>
        <w:t>应当现场告知该供应商无效响应的原因。</w:t>
      </w:r>
    </w:p>
    <w:p w14:paraId="4CA19E7F">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4、评审过程的澄清、说明和更正</w:t>
      </w:r>
    </w:p>
    <w:p w14:paraId="7F6AF62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D5DD2B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4.2接到磋商小组要求的供应商应派人按磋商小组通知的时间和地点做出书面澄清、说明或更正。供应商的澄清、说明或者更正应当由法定代表人或授权代表签字或者加盖公章。由授权代表签字的，应当附法人授权书。供应商为自然人的，应当由本人签字并附身份证明。</w:t>
      </w:r>
    </w:p>
    <w:p w14:paraId="15D5320B">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4.3 接到磋商小组澄清要求的供应商如未按规定作出澄清，其风险由供应商自行承担。</w:t>
      </w:r>
    </w:p>
    <w:p w14:paraId="4E22516D">
      <w:pPr>
        <w:snapToGrid w:val="0"/>
        <w:spacing w:line="360" w:lineRule="auto"/>
        <w:ind w:firstLine="482" w:firstLineChars="200"/>
        <w:rPr>
          <w:rFonts w:ascii="仿宋" w:hAnsi="仿宋" w:eastAsia="仿宋" w:cs="仿宋"/>
          <w:bCs/>
          <w:color w:val="000000"/>
          <w:sz w:val="24"/>
        </w:rPr>
      </w:pPr>
      <w:r>
        <w:rPr>
          <w:rFonts w:hint="eastAsia" w:ascii="仿宋" w:hAnsi="仿宋" w:eastAsia="仿宋" w:cs="仿宋"/>
          <w:b/>
          <w:color w:val="000000"/>
          <w:sz w:val="24"/>
        </w:rPr>
        <w:t>5、对响应文件的初审</w:t>
      </w:r>
    </w:p>
    <w:p w14:paraId="5DFDAA88">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5.1响应文件初审分为资格性检查和符合性检查。</w:t>
      </w:r>
    </w:p>
    <w:p w14:paraId="5C985A34">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资格性检查：依据法律法规和磋商文件的规定，对响应文件中的资格证明文件、响应文件的合规性等进行审查，以确定供应商是否具备参加磋商的资格。</w:t>
      </w:r>
    </w:p>
    <w:p w14:paraId="2EAE21AD">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磋商小组在进行资格性审查的同时，将在“信用中国”网站（www.creditchina.gov.cn）对供应商是否被列入失信被执行人、重大税收违法案件当事人名单、政府采购严重失信行为记录名单情况进行查询，以确定供应商是否具备参加磋商的资格。查询结果将以网页打印的形式留存并归档。</w:t>
      </w:r>
    </w:p>
    <w:p w14:paraId="0A8D25D0">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符合性检查：依据磋商文件的规定，从响应文件的有效性、完整性和对磋商文件的响应程度进行审查，以确定是否对磋商文件的实质性要求作出响应。</w:t>
      </w:r>
    </w:p>
    <w:p w14:paraId="0896494E">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5.2在正式磋商之前，磋商小组将首先审查每份响应文件是否实质性响应了磋商文件的要求。实质性响应的响应文件应该是与磋商文件要求的条款、条件和规格相符，没有重大负偏离或保留。</w:t>
      </w:r>
    </w:p>
    <w:p w14:paraId="07CB1098">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所谓重大负偏离或保留是指与磋商文件规定的实质性要求存在负偏离，或者在实质上与磋商文件不一致，而且限制了合同中买方和见证方的权利或供应商的义务，纠正这些偏离或保留将会对其他实质性响应要求的供应商的竞争地位产生不公正的影响。重大偏离由磋商小组按照少数服从多数的原则认定。磋商小组决定响应文件的响应性只根据响应文件本身的内容，而不寻求外部的证据。</w:t>
      </w:r>
    </w:p>
    <w:p w14:paraId="31ACFED1">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5.3 被认定为未实质性响应磋商文件的响应文件的情形</w:t>
      </w:r>
    </w:p>
    <w:p w14:paraId="7C8EFF32">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（1）未按照采购文件要求密封、签署、盖章的；</w:t>
      </w:r>
    </w:p>
    <w:p w14:paraId="442FFAAB">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（2）供应商在报价时采用选择性报价的；</w:t>
      </w:r>
    </w:p>
    <w:p w14:paraId="7CC49935">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（3）供应商不具备采购文件中规定资格要求及不符合财政部财库（2016）125号文件规定的；</w:t>
      </w:r>
    </w:p>
    <w:p w14:paraId="08EBCC5E">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（4）供应商的报价超过了采购预算的；</w:t>
      </w:r>
    </w:p>
    <w:p w14:paraId="7AAB34E0">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（5）未通过符合性检查的；</w:t>
      </w:r>
    </w:p>
    <w:p w14:paraId="1100EAFB">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（6）不符合采购文件中规定的其他实质性要求和条件的（本采购文件中标注为实质性要求的条款或斜体且有下划线部分为实质性要求和条件）。</w:t>
      </w:r>
    </w:p>
    <w:p w14:paraId="22D64E67">
      <w:pPr>
        <w:snapToGrid w:val="0"/>
        <w:spacing w:line="360" w:lineRule="auto"/>
        <w:ind w:firstLine="480" w:firstLineChars="200"/>
        <w:rPr>
          <w:rFonts w:ascii="仿宋" w:hAnsi="仿宋" w:eastAsia="仿宋" w:cs="仿宋"/>
          <w:bCs/>
          <w:sz w:val="24"/>
        </w:rPr>
      </w:pPr>
      <w:r>
        <w:rPr>
          <w:rFonts w:hint="eastAsia" w:ascii="仿宋" w:hAnsi="仿宋" w:eastAsia="仿宋" w:cs="仿宋"/>
          <w:bCs/>
          <w:color w:val="000000"/>
          <w:sz w:val="24"/>
        </w:rPr>
        <w:t xml:space="preserve">5.4 </w:t>
      </w:r>
      <w:r>
        <w:rPr>
          <w:rFonts w:hint="eastAsia" w:ascii="仿宋" w:hAnsi="仿宋" w:eastAsia="仿宋" w:cs="仿宋"/>
          <w:bCs/>
          <w:sz w:val="24"/>
        </w:rPr>
        <w:t xml:space="preserve"> 未响应磋商文件实质性要求的或违反政府采购相关法律法规的响应文件按无效响应处理，磋商小组将予以拒绝，供应商不得通过修改或撤销不合要求的偏离或保留而使其响应文件成为实质性响应或合规的文件。</w:t>
      </w:r>
    </w:p>
    <w:p w14:paraId="40D6615A">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5.5磋商小组将允许修正响应文件中不构成重大负偏离的微小错误、书写不规范的、前后表达不一致的或不规范的地方，这些修改对响应文件不会产生实质性的改变且不影响任何供应商的竞争地位或相应的名次排列。</w:t>
      </w:r>
    </w:p>
    <w:p w14:paraId="1B57DDBA">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5.6供应商被认定为有下列违法情形之一的，属于恶意串通，其响应文件将被拒绝：</w:t>
      </w:r>
    </w:p>
    <w:p w14:paraId="3CAAC385">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（1）供应商直接或者间接从采购人或者采购代理机构处获得其他供应商的相关情况并修改其投标文件或者响应文件；</w:t>
      </w:r>
    </w:p>
    <w:p w14:paraId="1DFBBC8A">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（2）供应商按照采购人或者采购代理机构的授意撤换、修改投标文件或者响应文件；</w:t>
      </w:r>
    </w:p>
    <w:p w14:paraId="114D02F0">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（3）供应商之间协商报价、技术方案等投标文件或者响应文件的实质性内容；</w:t>
      </w:r>
    </w:p>
    <w:p w14:paraId="55C92366">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（4）属于同一集团、协会、商会等组织成员的投标人按照该组织要求协同参加政府采购活动；</w:t>
      </w:r>
    </w:p>
    <w:p w14:paraId="439BAA06">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（5）供应商之间事先约定由某一特定供应商中标、成交；</w:t>
      </w:r>
    </w:p>
    <w:p w14:paraId="2F20D210">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（6）供应商之间商定部分投标人放弃参加政府采购活动或者放弃中标、成交；</w:t>
      </w:r>
    </w:p>
    <w:p w14:paraId="13C4CFDD">
      <w:pPr>
        <w:snapToGrid w:val="0"/>
        <w:spacing w:line="360" w:lineRule="auto"/>
        <w:ind w:firstLine="480" w:firstLineChars="200"/>
      </w:pPr>
      <w:r>
        <w:rPr>
          <w:rFonts w:hint="eastAsia" w:ascii="仿宋" w:hAnsi="仿宋" w:eastAsia="仿宋" w:cs="仿宋"/>
          <w:bCs/>
          <w:sz w:val="24"/>
        </w:rPr>
        <w:t>（7）供应商与采购人或者采购代理机构之间、投标人相互之间，为谋求特定投标人中标、成交或者排斥其他投标人的其他串通行为。</w:t>
      </w:r>
    </w:p>
    <w:p w14:paraId="7711136D">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6、磋商程序及评审方法和标准</w:t>
      </w:r>
    </w:p>
    <w:p w14:paraId="1F3C3645">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6.1磋商程序</w:t>
      </w:r>
    </w:p>
    <w:p w14:paraId="4D36E994">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6.1.1 对于通过资格性和符合性审查的供应商，磋商小组所有成员将集中与单一供应商分别进行磋商。</w:t>
      </w:r>
    </w:p>
    <w:p w14:paraId="448F7384">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在磋商过程中，磋商小组可以根据磋商文件和磋商情况改变采购需求中的技术、服务要求以及合同草案条款，但不得变动磋商文件中的其他实质性内容。变动的内容，经采购人代表确认后，磋商文件中采购需求的技术、服务要求以及合同草案条款的变动将作为磋商文件的有效组成部分，磋商小组应当及时以书面形式同时通知所有参加磋商的供应商。</w:t>
      </w:r>
    </w:p>
    <w:p w14:paraId="70638FB4">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6D0C1007">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 xml:space="preserve"> 6.1.2 </w:t>
      </w:r>
      <w:r>
        <w:rPr>
          <w:rFonts w:hint="eastAsia" w:ascii="仿宋" w:hAnsi="仿宋" w:eastAsia="仿宋" w:cs="仿宋"/>
          <w:bCs/>
          <w:sz w:val="24"/>
        </w:rPr>
        <w:t>磋商文件能够详细列明采购标的的技术、服务要求的，磋商结束后，磋商小组将要求所有实质性响应的供应商在规定时间内提交</w:t>
      </w:r>
      <w:r>
        <w:rPr>
          <w:rFonts w:hint="eastAsia" w:ascii="仿宋" w:hAnsi="仿宋" w:eastAsia="仿宋" w:cs="仿宋"/>
          <w:sz w:val="24"/>
        </w:rPr>
        <w:t>最终</w:t>
      </w:r>
      <w:r>
        <w:rPr>
          <w:rFonts w:hint="eastAsia" w:ascii="仿宋" w:hAnsi="仿宋" w:eastAsia="仿宋" w:cs="仿宋"/>
          <w:bCs/>
          <w:sz w:val="24"/>
        </w:rPr>
        <w:t>报价。</w:t>
      </w:r>
    </w:p>
    <w:p w14:paraId="090EE3FB">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磋商文件不能详细列明采购标的的技术、服务要求，需经磋商由供应商提供最终设计方案或解决方案的，磋商结束后，磋商小组将按照少数服从多数的原则投票推荐3家以上供应商的设计方案或者解决方案，并要求其在规定时间内提交</w:t>
      </w:r>
      <w:r>
        <w:rPr>
          <w:rFonts w:hint="eastAsia" w:ascii="仿宋" w:hAnsi="仿宋" w:eastAsia="仿宋" w:cs="仿宋"/>
          <w:sz w:val="24"/>
        </w:rPr>
        <w:t>最终</w:t>
      </w:r>
      <w:r>
        <w:rPr>
          <w:rFonts w:hint="eastAsia" w:ascii="仿宋" w:hAnsi="仿宋" w:eastAsia="仿宋" w:cs="仿宋"/>
          <w:bCs/>
          <w:sz w:val="24"/>
        </w:rPr>
        <w:t>报价。</w:t>
      </w:r>
    </w:p>
    <w:p w14:paraId="5087F247">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最终报价是供应商响应文件的有效组成部分。符合《政府采购竞争性磋商采购方式管理暂行办法》第三条第四项及《财政部关于竞争性磋商采购方式管理暂行办法有关问题的补充通知》（财库[2015]124号）规定情形的，提交</w:t>
      </w:r>
      <w:r>
        <w:rPr>
          <w:rFonts w:hint="eastAsia" w:ascii="仿宋" w:hAnsi="仿宋" w:eastAsia="仿宋" w:cs="仿宋"/>
          <w:sz w:val="24"/>
        </w:rPr>
        <w:t>最终</w:t>
      </w:r>
      <w:r>
        <w:rPr>
          <w:rFonts w:hint="eastAsia" w:ascii="仿宋" w:hAnsi="仿宋" w:eastAsia="仿宋" w:cs="仿宋"/>
          <w:bCs/>
          <w:sz w:val="24"/>
        </w:rPr>
        <w:t>报价的供应商可以为2家。</w:t>
      </w:r>
    </w:p>
    <w:p w14:paraId="1D11687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 xml:space="preserve">6.1.3 </w:t>
      </w:r>
      <w:r>
        <w:rPr>
          <w:rFonts w:hint="eastAsia" w:ascii="仿宋" w:hAnsi="仿宋" w:eastAsia="仿宋" w:cs="仿宋"/>
          <w:bCs/>
          <w:sz w:val="24"/>
        </w:rPr>
        <w:t>供应商未在磋商小组规定的时间内完成</w:t>
      </w:r>
      <w:r>
        <w:rPr>
          <w:rFonts w:hint="eastAsia" w:ascii="仿宋" w:hAnsi="仿宋" w:eastAsia="仿宋" w:cs="仿宋"/>
          <w:sz w:val="24"/>
        </w:rPr>
        <w:t>最终</w:t>
      </w:r>
      <w:r>
        <w:rPr>
          <w:rFonts w:hint="eastAsia" w:ascii="仿宋" w:hAnsi="仿宋" w:eastAsia="仿宋" w:cs="仿宋"/>
          <w:bCs/>
          <w:sz w:val="24"/>
        </w:rPr>
        <w:t>报价的视为放弃磋商，其磋商响应按无效响应处理。磋商小组根据磋商情况可以要求供应商进行两次或两次以上的磋商报价。磋商小组最后一轮谈判结束后，参加磋商的供应商应当对磋商的承诺和</w:t>
      </w:r>
      <w:r>
        <w:rPr>
          <w:rFonts w:hint="eastAsia" w:ascii="仿宋" w:hAnsi="仿宋" w:eastAsia="仿宋" w:cs="仿宋"/>
          <w:sz w:val="24"/>
        </w:rPr>
        <w:t>最终</w:t>
      </w:r>
      <w:r>
        <w:rPr>
          <w:rFonts w:hint="eastAsia" w:ascii="仿宋" w:hAnsi="仿宋" w:eastAsia="仿宋" w:cs="仿宋"/>
          <w:bCs/>
          <w:sz w:val="24"/>
        </w:rPr>
        <w:t>报价以书面形式确认，并由法定代表人或其授权人签字或者加盖公章签字或者加盖公章（最终报价将作为评审的依据）。已提交响应文件的供应商，在提交最终报价之前，可以根据磋商情况退出磋商。</w:t>
      </w:r>
    </w:p>
    <w:p w14:paraId="14FA1876">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6.2 评审方法和标准</w:t>
      </w:r>
    </w:p>
    <w:p w14:paraId="3590F180">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6.2.1评审方法。经磋商确定最终采购需求和提交最终报价的供应商后，由磋商小组采用综合评分法对提交最终报价的供应商的响应文件和最终报价进行综合评分。</w:t>
      </w:r>
    </w:p>
    <w:p w14:paraId="7DABE2F8">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综合评分法，是指响应文件满足采购文件全部实质性要求，且按照评审因素的量化指标评审得分最高的供应商为成交候选人的评审方法。</w:t>
      </w:r>
    </w:p>
    <w:p w14:paraId="19C2C68A">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6.2.2评审标准</w:t>
      </w:r>
    </w:p>
    <w:p w14:paraId="718C19BF">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见本磋商文件第五章规定。</w:t>
      </w:r>
    </w:p>
    <w:p w14:paraId="705F6448">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6.3采购活动终止的情况</w:t>
      </w:r>
    </w:p>
    <w:p w14:paraId="08823D6A">
      <w:pPr>
        <w:snapToGrid w:val="0"/>
        <w:spacing w:line="360" w:lineRule="auto"/>
        <w:ind w:firstLine="480" w:firstLineChars="200"/>
        <w:rPr>
          <w:rFonts w:ascii="仿宋" w:hAnsi="仿宋" w:eastAsia="仿宋" w:cs="仿宋"/>
          <w:bCs/>
          <w:sz w:val="24"/>
        </w:rPr>
      </w:pPr>
      <w:bookmarkStart w:id="87" w:name="_Toc12666"/>
      <w:bookmarkStart w:id="88" w:name="_Toc26343"/>
      <w:bookmarkStart w:id="89" w:name="_Toc32063"/>
      <w:bookmarkStart w:id="90" w:name="_Toc7849"/>
      <w:bookmarkStart w:id="91" w:name="_Toc19451"/>
      <w:bookmarkStart w:id="92" w:name="_Toc27502"/>
      <w:bookmarkStart w:id="93" w:name="_Toc21601"/>
      <w:bookmarkStart w:id="94" w:name="_Toc17634_WPSOffice_Level2"/>
      <w:r>
        <w:rPr>
          <w:rFonts w:hint="eastAsia" w:ascii="仿宋" w:hAnsi="仿宋" w:eastAsia="仿宋" w:cs="仿宋"/>
          <w:bCs/>
          <w:sz w:val="24"/>
        </w:rPr>
        <w:t>出现下列情形之一的，本次竞争性磋商采购活动将被终止：</w:t>
      </w:r>
    </w:p>
    <w:p w14:paraId="7BD6BEF3">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（1）因情况变化，不再符合规定的竞争性磋商采购方式适用情形的；</w:t>
      </w:r>
    </w:p>
    <w:p w14:paraId="2BF413AD">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（2）出现影响采购公正的违法、违规行为的；</w:t>
      </w:r>
    </w:p>
    <w:p w14:paraId="20CD097E">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（3）除本磋商文件第6.1.2条第三款规定的情形外，在采购过程中符合要求的供应商或者报价未超过采购预算的供应商不足3家的。</w:t>
      </w:r>
    </w:p>
    <w:p w14:paraId="15D5D245">
      <w:pPr>
        <w:pStyle w:val="30"/>
        <w:numPr>
          <w:ilvl w:val="255"/>
          <w:numId w:val="0"/>
        </w:numPr>
        <w:spacing w:line="360" w:lineRule="auto"/>
        <w:rPr>
          <w:rFonts w:ascii="仿宋" w:hAnsi="仿宋" w:eastAsia="仿宋" w:cs="仿宋"/>
          <w:color w:val="000000"/>
        </w:rPr>
      </w:pPr>
      <w:r>
        <w:rPr>
          <w:rFonts w:hint="eastAsia" w:ascii="仿宋" w:hAnsi="仿宋" w:eastAsia="仿宋" w:cs="仿宋"/>
          <w:color w:val="000000"/>
        </w:rPr>
        <w:t>五、成交</w:t>
      </w:r>
      <w:bookmarkEnd w:id="87"/>
      <w:bookmarkEnd w:id="88"/>
      <w:bookmarkEnd w:id="89"/>
      <w:bookmarkEnd w:id="90"/>
      <w:bookmarkEnd w:id="91"/>
      <w:bookmarkEnd w:id="92"/>
      <w:bookmarkEnd w:id="93"/>
      <w:bookmarkEnd w:id="94"/>
    </w:p>
    <w:p w14:paraId="09F38513">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1、确定成交单位</w:t>
      </w:r>
    </w:p>
    <w:p w14:paraId="450757B1">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1.1 磋</w:t>
      </w:r>
      <w:r>
        <w:rPr>
          <w:rFonts w:hint="eastAsia" w:ascii="仿宋" w:hAnsi="仿宋" w:eastAsia="仿宋" w:cs="仿宋"/>
          <w:bCs/>
          <w:sz w:val="24"/>
        </w:rPr>
        <w:t>商小组根据综合评分情况，每个分包按照评审得分由高到低顺序推荐3名成交候选供应商，并编写评审报告。符合本文件第6.1.2条情形的，可以推荐2家成交候选供应商。评审得分相同的，按照</w:t>
      </w:r>
      <w:r>
        <w:rPr>
          <w:rFonts w:hint="eastAsia" w:ascii="仿宋" w:hAnsi="仿宋" w:eastAsia="仿宋" w:cs="仿宋"/>
          <w:sz w:val="24"/>
        </w:rPr>
        <w:t>最终</w:t>
      </w:r>
      <w:r>
        <w:rPr>
          <w:rFonts w:hint="eastAsia" w:ascii="仿宋" w:hAnsi="仿宋" w:eastAsia="仿宋" w:cs="仿宋"/>
          <w:bCs/>
          <w:sz w:val="24"/>
        </w:rPr>
        <w:t>报价由低到高的顺序推荐。评审得分且</w:t>
      </w:r>
      <w:r>
        <w:rPr>
          <w:rFonts w:hint="eastAsia" w:ascii="仿宋" w:hAnsi="仿宋" w:eastAsia="仿宋" w:cs="仿宋"/>
          <w:sz w:val="24"/>
        </w:rPr>
        <w:t>最终</w:t>
      </w:r>
      <w:r>
        <w:rPr>
          <w:rFonts w:hint="eastAsia" w:ascii="仿宋" w:hAnsi="仿宋" w:eastAsia="仿宋" w:cs="仿宋"/>
          <w:bCs/>
          <w:sz w:val="24"/>
        </w:rPr>
        <w:t>报价相同的，按照技术指标优劣顺序推荐。如合格磋商响应供应商数量等于拟确定成交的供应商数量，所有合格磋商响应供应商均为成交候选供应商。</w:t>
      </w:r>
    </w:p>
    <w:p w14:paraId="6428A04E">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1.2采</w:t>
      </w:r>
      <w:r>
        <w:rPr>
          <w:rFonts w:hint="eastAsia" w:ascii="仿宋" w:hAnsi="仿宋" w:eastAsia="仿宋" w:cs="仿宋"/>
          <w:bCs/>
          <w:sz w:val="24"/>
        </w:rPr>
        <w:t>购人根据磋商小组推荐的成交候选人确定成交供应商。采购人确定成交供应商后，采购代理机构将在“江苏省招标投标公共服务平台”发布成交结果公告，公告期限为1个工作日。</w:t>
      </w:r>
      <w:r>
        <w:rPr>
          <w:rFonts w:hint="eastAsia" w:ascii="仿宋" w:hAnsi="仿宋" w:eastAsia="仿宋" w:cs="仿宋"/>
          <w:bCs/>
          <w:color w:val="000000"/>
          <w:sz w:val="24"/>
        </w:rPr>
        <w:t>供应商享受中小企业扶持政策的，随中标、成交结果公开中标、成交供应商的《中小企业声明函》。</w:t>
      </w:r>
    </w:p>
    <w:p w14:paraId="294921C7">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1.3若有充分证据证明，成交供应商出现下列情况之一的，一经查实，将被取消成交资格：</w:t>
      </w:r>
    </w:p>
    <w:p w14:paraId="48380536">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（1）提供虚假材料谋取成交的；</w:t>
      </w:r>
    </w:p>
    <w:p w14:paraId="650BD10E">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（2）供应商存在恶意串通情形的；</w:t>
      </w:r>
    </w:p>
    <w:p w14:paraId="0CCDBEF6">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（3）向评审专家、采购人或采购代理机构工作人员行贿或者提供其他不正当利益的；</w:t>
      </w:r>
    </w:p>
    <w:p w14:paraId="2D3C958B">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（4）成交后无正当理由拒不与采购人签订政府采购合同或者未按照磋商文件确定的事项签订政府采购合同；</w:t>
      </w:r>
    </w:p>
    <w:p w14:paraId="26414D35">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（5）供应商将政府采购合同违法分包转包的。</w:t>
      </w:r>
    </w:p>
    <w:p w14:paraId="0C9406D9">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2、质疑处理</w:t>
      </w:r>
    </w:p>
    <w:p w14:paraId="71608937">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2.1供应商认为磋商文件、采购过程和采购结果使自己的权益受到损害的，可以在知道或应知其权益受到损害之日起七个工作日内，以书面形式向采购代理机构或采购人提出质疑。上述应知其权益受到损害之日，是指：</w:t>
      </w:r>
    </w:p>
    <w:p w14:paraId="14E0BA7E">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（1）对可以质疑的磋商文件提出质疑的，为收到磋商文件之日或者磋商文件公告期限届满之日；</w:t>
      </w:r>
    </w:p>
    <w:p w14:paraId="12500588">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（2）对采购过程提出质疑的，为各采购程序环节结束之日；</w:t>
      </w:r>
    </w:p>
    <w:p w14:paraId="614D8EA7">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（3）对成交结果提出质疑的，为成交结果公告期限届满之日。</w:t>
      </w:r>
    </w:p>
    <w:p w14:paraId="2B72A8B1">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2.2质疑必须按《政府采购法》、《政府采购法实施条例》、中华人民共和国财政部令第94号令《政府采购质疑和投诉办法》的相关规定提交，未按上述要求提交的质疑函（含传真、电子邮件等）</w:t>
      </w:r>
      <w:r>
        <w:rPr>
          <w:rFonts w:hint="eastAsia" w:ascii="仿宋" w:hAnsi="仿宋" w:eastAsia="仿宋" w:cs="仿宋"/>
          <w:color w:val="000000"/>
          <w:sz w:val="24"/>
          <w:szCs w:val="24"/>
        </w:rPr>
        <w:t>采购代理机构有权要求质疑供应商按规定予以修正</w:t>
      </w:r>
      <w:r>
        <w:rPr>
          <w:rFonts w:hint="eastAsia" w:ascii="仿宋" w:hAnsi="仿宋" w:eastAsia="仿宋" w:cs="仿宋"/>
          <w:bCs/>
          <w:color w:val="000000"/>
          <w:sz w:val="24"/>
        </w:rPr>
        <w:t>。</w:t>
      </w:r>
    </w:p>
    <w:p w14:paraId="0AEE7EE5">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2.3未参加磋商采购活动的供应商或在磋商采购活动中自身权益未受到损害的供应商所提出的质疑不予受理。</w:t>
      </w:r>
    </w:p>
    <w:p w14:paraId="40737D01">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2.4供应商提出质疑应当提交质疑函和必要的证明材料。质疑函应当包括下列内容：</w:t>
      </w:r>
    </w:p>
    <w:p w14:paraId="5A846C1F">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（1）供应商的姓名或者名称、地址、邮编、联系人及联系电话；</w:t>
      </w:r>
    </w:p>
    <w:p w14:paraId="4C318FC9">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（2）质疑项目的名称、编号；</w:t>
      </w:r>
    </w:p>
    <w:p w14:paraId="3FA7A3D4">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（3）具体、明确的质疑事项和与质疑事项相关的请求；</w:t>
      </w:r>
    </w:p>
    <w:p w14:paraId="7AF272DD">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（4）事实依据；</w:t>
      </w:r>
    </w:p>
    <w:p w14:paraId="44EC3CCF">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（5）必要的法律依据；</w:t>
      </w:r>
    </w:p>
    <w:p w14:paraId="27716D47">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（6）提出质疑的日期。</w:t>
      </w:r>
    </w:p>
    <w:p w14:paraId="4B6F8B8C">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供应商为自然人的，应当由本人签字；供应商为法人或者其他组织的，应当由法定代表人、主要负责人，或者其授权代表签字或者盖章，并加盖公章。</w:t>
      </w:r>
    </w:p>
    <w:p w14:paraId="55020354">
      <w:pPr>
        <w:snapToGrid w:val="0"/>
        <w:spacing w:line="360" w:lineRule="auto"/>
        <w:ind w:firstLine="480" w:firstLineChars="200"/>
        <w:textAlignment w:val="baseline"/>
      </w:pPr>
      <w:r>
        <w:rPr>
          <w:rFonts w:hint="eastAsia" w:ascii="仿宋" w:hAnsi="仿宋" w:eastAsia="仿宋" w:cs="仿宋"/>
          <w:sz w:val="24"/>
          <w:szCs w:val="24"/>
        </w:rPr>
        <w:t>质疑人委托代理质疑的，应当向采购代理机构提交授权委托书，并载明委托代理的具体权限和事项。</w:t>
      </w:r>
    </w:p>
    <w:p w14:paraId="10507664">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2.5采购代理机构收到质疑函后，将对质疑的形式和内容进行审查，如质疑函内容、格式不符合规定，采购代理机构将告知质疑人进行补正。</w:t>
      </w:r>
    </w:p>
    <w:p w14:paraId="5D15CF1E">
      <w:pPr>
        <w:snapToGrid w:val="0"/>
        <w:spacing w:line="360" w:lineRule="auto"/>
        <w:ind w:firstLine="480" w:firstLineChars="200"/>
        <w:rPr>
          <w:rFonts w:ascii="仿宋" w:hAnsi="仿宋" w:eastAsia="仿宋" w:cs="仿宋"/>
          <w:sz w:val="24"/>
        </w:rPr>
      </w:pPr>
      <w:r>
        <w:rPr>
          <w:rFonts w:hint="eastAsia" w:ascii="仿宋" w:hAnsi="仿宋" w:eastAsia="仿宋" w:cs="仿宋"/>
          <w:bCs/>
          <w:color w:val="000000"/>
          <w:sz w:val="24"/>
        </w:rPr>
        <w:t>2.6</w:t>
      </w:r>
      <w:r>
        <w:rPr>
          <w:rFonts w:hint="eastAsia" w:ascii="仿宋" w:hAnsi="仿宋" w:eastAsia="仿宋" w:cs="仿宋"/>
          <w:sz w:val="24"/>
        </w:rPr>
        <w:t>质疑人应当在法定质疑期限内进行补正并重新提交质疑函。</w:t>
      </w:r>
    </w:p>
    <w:p w14:paraId="0AC8BDE1">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2.7采</w:t>
      </w:r>
      <w:r>
        <w:rPr>
          <w:rFonts w:hint="eastAsia" w:ascii="仿宋" w:hAnsi="仿宋" w:eastAsia="仿宋" w:cs="仿宋"/>
          <w:sz w:val="24"/>
          <w:szCs w:val="24"/>
        </w:rPr>
        <w:t>购代理机构应当在收到供应商的书面质疑后七个工作日内作出答复，并以书面形式通知质疑供应商和其他有关供应商，并告知质疑供应商具有投诉的权利。质疑答复的内容不得涉及评审情况与所获知的供应商的商业秘密。</w:t>
      </w:r>
    </w:p>
    <w:p w14:paraId="25117286">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2.8</w:t>
      </w:r>
      <w:r>
        <w:rPr>
          <w:rFonts w:hint="eastAsia" w:ascii="仿宋" w:hAnsi="仿宋" w:eastAsia="仿宋" w:cs="仿宋"/>
          <w:bCs/>
          <w:sz w:val="24"/>
        </w:rPr>
        <w:t>供应商提出书面质疑必须有理、有据，不得恶意质疑或提交虚假质疑。</w:t>
      </w:r>
    </w:p>
    <w:p w14:paraId="3C8E3764">
      <w:pPr>
        <w:pStyle w:val="30"/>
        <w:numPr>
          <w:ilvl w:val="255"/>
          <w:numId w:val="0"/>
        </w:numPr>
        <w:spacing w:line="360" w:lineRule="auto"/>
        <w:rPr>
          <w:rFonts w:ascii="仿宋" w:hAnsi="仿宋" w:eastAsia="仿宋" w:cs="仿宋"/>
          <w:color w:val="000000"/>
        </w:rPr>
      </w:pPr>
      <w:bookmarkStart w:id="95" w:name="_Toc30649"/>
      <w:bookmarkStart w:id="96" w:name="_Toc12078"/>
      <w:bookmarkStart w:id="97" w:name="_Toc16562_WPSOffice_Level2"/>
      <w:bookmarkStart w:id="98" w:name="_Toc20155"/>
      <w:bookmarkStart w:id="99" w:name="_Toc32697"/>
      <w:bookmarkStart w:id="100" w:name="_Toc16008"/>
      <w:bookmarkStart w:id="101" w:name="_Toc28124"/>
      <w:bookmarkStart w:id="102" w:name="_Toc19386"/>
      <w:r>
        <w:rPr>
          <w:rFonts w:hint="eastAsia" w:ascii="仿宋" w:hAnsi="仿宋" w:eastAsia="仿宋" w:cs="仿宋"/>
          <w:color w:val="000000"/>
        </w:rPr>
        <w:t>六、合同签订相关事项</w:t>
      </w:r>
      <w:bookmarkEnd w:id="95"/>
      <w:bookmarkEnd w:id="96"/>
      <w:bookmarkEnd w:id="97"/>
      <w:bookmarkEnd w:id="98"/>
      <w:bookmarkEnd w:id="99"/>
      <w:bookmarkEnd w:id="100"/>
      <w:bookmarkEnd w:id="101"/>
      <w:bookmarkEnd w:id="102"/>
    </w:p>
    <w:p w14:paraId="2F24D22D">
      <w:pPr>
        <w:snapToGrid w:val="0"/>
        <w:spacing w:line="360"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1、签订合同</w:t>
      </w:r>
    </w:p>
    <w:p w14:paraId="61F7BF98">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1.l</w:t>
      </w:r>
      <w:r>
        <w:rPr>
          <w:rFonts w:hint="eastAsia" w:ascii="仿宋" w:hAnsi="仿宋" w:eastAsia="仿宋" w:cs="仿宋"/>
          <w:bCs/>
          <w:sz w:val="24"/>
        </w:rPr>
        <w:t>成交供应商确定后，采购代理机构将向成交供应商发出成交通知书。成交供应商应按成交通知书规定的时间、地点,按照磋商文件确定的事项与采购人签订政府采购合同，且不得迟于成交通知书发出之日起三十日内，否则磋商保证金将不予退还，由此给采购人造成损失的，成交供应商还应承担赔偿责任。</w:t>
      </w:r>
    </w:p>
    <w:p w14:paraId="2E5D16EF">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1.2 磋</w:t>
      </w:r>
      <w:r>
        <w:rPr>
          <w:rFonts w:hint="eastAsia" w:ascii="仿宋" w:hAnsi="仿宋" w:eastAsia="仿宋" w:cs="仿宋"/>
          <w:bCs/>
          <w:sz w:val="24"/>
        </w:rPr>
        <w:t>商文件、成交供应商的响应文件及磋商采购过程中有关澄清、承诺文件均应作为合同附件。</w:t>
      </w:r>
    </w:p>
    <w:p w14:paraId="79D1026F">
      <w:pPr>
        <w:snapToGrid w:val="0"/>
        <w:spacing w:line="360"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1.3 签</w:t>
      </w:r>
      <w:r>
        <w:rPr>
          <w:rFonts w:hint="eastAsia" w:ascii="仿宋" w:hAnsi="仿宋" w:eastAsia="仿宋" w:cs="仿宋"/>
          <w:bCs/>
          <w:sz w:val="24"/>
        </w:rPr>
        <w:t>订合同后，成交供应商不得将成交产品或服务进行转包。未经采购人同意，成交供应商也不得采用分包的形式履行合同，否则采购人有权终止合同。转包或分包造成采购人损失的，成交供应商应承担相应赔偿责任。</w:t>
      </w:r>
    </w:p>
    <w:p w14:paraId="1F287CB2">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2、货物和服务的追加、减少和添购</w:t>
      </w:r>
    </w:p>
    <w:p w14:paraId="076A9005">
      <w:pPr>
        <w:spacing w:line="360" w:lineRule="auto"/>
        <w:ind w:firstLine="465" w:firstLineChars="194"/>
        <w:textAlignment w:val="baseline"/>
        <w:rPr>
          <w:rFonts w:ascii="仿宋" w:hAnsi="仿宋" w:eastAsia="仿宋" w:cs="仿宋"/>
          <w:iCs/>
          <w:sz w:val="24"/>
        </w:rPr>
      </w:pPr>
      <w:r>
        <w:rPr>
          <w:rFonts w:hint="eastAsia" w:ascii="仿宋" w:hAnsi="仿宋" w:eastAsia="仿宋" w:cs="仿宋"/>
          <w:iCs/>
          <w:sz w:val="24"/>
        </w:rPr>
        <w:t>2.1政府采购合同履行中，采购人需追加与合同标的相同的货物或服务的，在不改变合同其他条款的前提下，可以与供应商协商签订补充合同，但所有补充合同的采购金额不超过原合同金额10%。</w:t>
      </w:r>
    </w:p>
    <w:p w14:paraId="6CA8D7DA">
      <w:pPr>
        <w:spacing w:line="360" w:lineRule="auto"/>
        <w:ind w:firstLine="465" w:firstLineChars="194"/>
        <w:rPr>
          <w:rFonts w:ascii="仿宋" w:hAnsi="仿宋" w:eastAsia="仿宋" w:cs="仿宋"/>
          <w:iCs/>
          <w:sz w:val="24"/>
        </w:rPr>
      </w:pPr>
      <w:r>
        <w:rPr>
          <w:rFonts w:hint="eastAsia" w:ascii="仿宋" w:hAnsi="仿宋" w:eastAsia="仿宋" w:cs="仿宋"/>
          <w:iCs/>
          <w:sz w:val="24"/>
        </w:rPr>
        <w:t>2.2采购结束后，采购人若由于各种客观原因，必须对采购项目所牵涉的货物或服务进行适当的减少时，在双方协商一致的前提下，可以按照磋商采购时的价格水平做相应的调减，并据此签订补充合同。</w:t>
      </w:r>
    </w:p>
    <w:p w14:paraId="43ACD61F">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3、履约保证金</w:t>
      </w:r>
    </w:p>
    <w:p w14:paraId="04A6D930">
      <w:r>
        <w:rPr>
          <w:rFonts w:hint="eastAsia"/>
        </w:rPr>
        <w:t xml:space="preserve"> </w:t>
      </w:r>
      <w:r>
        <w:rPr>
          <w:rFonts w:hint="eastAsia" w:ascii="仿宋" w:hAnsi="仿宋" w:eastAsia="仿宋" w:cs="仿宋"/>
          <w:iCs/>
          <w:sz w:val="24"/>
        </w:rPr>
        <w:t xml:space="preserve">   由采购人根据合同收取。</w:t>
      </w:r>
    </w:p>
    <w:bookmarkEnd w:id="39"/>
    <w:bookmarkEnd w:id="40"/>
    <w:bookmarkEnd w:id="41"/>
    <w:bookmarkEnd w:id="42"/>
    <w:bookmarkEnd w:id="43"/>
    <w:bookmarkEnd w:id="44"/>
    <w:p w14:paraId="733907ED">
      <w:pPr>
        <w:pStyle w:val="29"/>
        <w:pageBreakBefore/>
        <w:spacing w:after="312" w:line="360" w:lineRule="auto"/>
        <w:rPr>
          <w:rFonts w:ascii="仿宋" w:hAnsi="仿宋" w:eastAsia="仿宋" w:cs="仿宋"/>
          <w:color w:val="000000"/>
          <w:sz w:val="40"/>
        </w:rPr>
      </w:pPr>
      <w:bookmarkStart w:id="103" w:name="_Toc32216"/>
      <w:bookmarkStart w:id="104" w:name="_Toc26153"/>
      <w:bookmarkStart w:id="105" w:name="_Toc16928"/>
      <w:bookmarkStart w:id="106" w:name="_Toc8448"/>
      <w:bookmarkStart w:id="107" w:name="_Toc25170481"/>
      <w:bookmarkStart w:id="108" w:name="_Toc12478"/>
      <w:bookmarkStart w:id="109" w:name="_Toc14553"/>
      <w:bookmarkStart w:id="110" w:name="_Toc13783"/>
      <w:bookmarkStart w:id="111" w:name="_Toc16499"/>
      <w:bookmarkStart w:id="112" w:name="_Toc9830"/>
      <w:bookmarkStart w:id="113" w:name="_Toc23520"/>
      <w:bookmarkStart w:id="114" w:name="_Toc324237148"/>
      <w:bookmarkStart w:id="115" w:name="_Toc32263"/>
      <w:bookmarkStart w:id="116" w:name="_Toc120614281"/>
      <w:bookmarkStart w:id="117" w:name="_Toc49090575"/>
      <w:bookmarkStart w:id="118" w:name="_Toc26554093"/>
      <w:bookmarkStart w:id="119" w:name="_Toc479757211"/>
      <w:bookmarkStart w:id="120" w:name="_Toc462564139"/>
      <w:r>
        <w:rPr>
          <w:rFonts w:hint="eastAsia" w:ascii="仿宋" w:hAnsi="仿宋" w:eastAsia="仿宋" w:cs="仿宋"/>
          <w:color w:val="000000"/>
          <w:sz w:val="40"/>
        </w:rPr>
        <w:t>第三章  合同条款及格式</w:t>
      </w:r>
      <w:bookmarkEnd w:id="103"/>
      <w:bookmarkEnd w:id="104"/>
      <w:bookmarkEnd w:id="105"/>
      <w:bookmarkEnd w:id="106"/>
    </w:p>
    <w:p w14:paraId="1AC20A0D">
      <w:pPr>
        <w:spacing w:line="360" w:lineRule="auto"/>
        <w:jc w:val="center"/>
        <w:rPr>
          <w:rFonts w:ascii="仿宋" w:hAnsi="仿宋" w:eastAsia="仿宋" w:cs="仿宋"/>
          <w:b/>
          <w:color w:val="000000"/>
          <w:sz w:val="56"/>
          <w:szCs w:val="48"/>
        </w:rPr>
      </w:pPr>
    </w:p>
    <w:p w14:paraId="7580755B">
      <w:pPr>
        <w:spacing w:line="360" w:lineRule="auto"/>
        <w:jc w:val="center"/>
        <w:rPr>
          <w:rFonts w:ascii="仿宋" w:hAnsi="仿宋" w:eastAsia="仿宋" w:cs="仿宋"/>
          <w:b/>
          <w:color w:val="000000"/>
          <w:sz w:val="56"/>
          <w:szCs w:val="48"/>
        </w:rPr>
      </w:pPr>
    </w:p>
    <w:p w14:paraId="36CF3350">
      <w:pPr>
        <w:spacing w:line="360" w:lineRule="auto"/>
        <w:jc w:val="center"/>
        <w:rPr>
          <w:rFonts w:ascii="仿宋" w:hAnsi="仿宋" w:eastAsia="仿宋" w:cs="仿宋"/>
          <w:b/>
          <w:color w:val="000000"/>
          <w:sz w:val="56"/>
          <w:szCs w:val="48"/>
        </w:rPr>
      </w:pPr>
    </w:p>
    <w:p w14:paraId="6A9D798D">
      <w:pPr>
        <w:spacing w:line="360" w:lineRule="auto"/>
        <w:jc w:val="center"/>
        <w:rPr>
          <w:rFonts w:ascii="仿宋" w:hAnsi="仿宋" w:eastAsia="仿宋" w:cs="仿宋"/>
          <w:b/>
          <w:color w:val="000000"/>
          <w:sz w:val="56"/>
          <w:szCs w:val="48"/>
        </w:rPr>
      </w:pPr>
      <w:r>
        <w:rPr>
          <w:rFonts w:hint="eastAsia" w:ascii="仿宋" w:hAnsi="仿宋" w:eastAsia="仿宋" w:cs="仿宋"/>
          <w:b/>
          <w:color w:val="000000"/>
          <w:sz w:val="56"/>
          <w:szCs w:val="48"/>
        </w:rPr>
        <w:t>江苏省高级人民法院</w:t>
      </w:r>
    </w:p>
    <w:p w14:paraId="7F6FA570">
      <w:pPr>
        <w:spacing w:line="360" w:lineRule="auto"/>
        <w:ind w:firstLine="721"/>
        <w:jc w:val="center"/>
        <w:rPr>
          <w:rFonts w:ascii="仿宋" w:hAnsi="仿宋" w:eastAsia="仿宋" w:cs="仿宋"/>
          <w:b/>
          <w:color w:val="000000"/>
          <w:sz w:val="52"/>
          <w:szCs w:val="44"/>
        </w:rPr>
      </w:pPr>
    </w:p>
    <w:p w14:paraId="78E74628">
      <w:pPr>
        <w:spacing w:line="360" w:lineRule="auto"/>
        <w:jc w:val="center"/>
        <w:rPr>
          <w:rFonts w:ascii="仿宋" w:hAnsi="仿宋" w:eastAsia="仿宋" w:cs="仿宋"/>
          <w:b/>
          <w:color w:val="000000"/>
          <w:sz w:val="44"/>
          <w:szCs w:val="44"/>
        </w:rPr>
      </w:pPr>
      <w:r>
        <w:rPr>
          <w:rFonts w:hint="eastAsia" w:ascii="仿宋" w:hAnsi="仿宋" w:eastAsia="仿宋" w:cs="仿宋"/>
          <w:b/>
          <w:color w:val="000000"/>
          <w:sz w:val="44"/>
          <w:szCs w:val="44"/>
        </w:rPr>
        <w:t>江苏省高级人民法院密评项目</w:t>
      </w:r>
    </w:p>
    <w:p w14:paraId="24A483F8">
      <w:pPr>
        <w:ind w:left="1260" w:leftChars="600"/>
        <w:rPr>
          <w:rFonts w:ascii="仿宋" w:hAnsi="仿宋" w:eastAsia="仿宋" w:cs="仿宋"/>
          <w:color w:val="000000"/>
        </w:rPr>
      </w:pPr>
    </w:p>
    <w:p w14:paraId="4993F442">
      <w:pPr>
        <w:spacing w:line="360" w:lineRule="auto"/>
        <w:ind w:firstLine="521"/>
        <w:jc w:val="center"/>
        <w:rPr>
          <w:rFonts w:ascii="仿宋" w:hAnsi="仿宋" w:eastAsia="仿宋" w:cs="仿宋"/>
          <w:b/>
          <w:color w:val="000000"/>
          <w:sz w:val="52"/>
          <w:szCs w:val="52"/>
        </w:rPr>
      </w:pPr>
    </w:p>
    <w:p w14:paraId="128AEF57">
      <w:pPr>
        <w:spacing w:line="360" w:lineRule="auto"/>
        <w:ind w:firstLine="723"/>
        <w:jc w:val="center"/>
        <w:rPr>
          <w:rFonts w:ascii="仿宋" w:hAnsi="仿宋" w:eastAsia="仿宋" w:cs="仿宋"/>
          <w:b/>
          <w:color w:val="000000"/>
          <w:sz w:val="72"/>
          <w:szCs w:val="72"/>
        </w:rPr>
      </w:pPr>
    </w:p>
    <w:p w14:paraId="35ED7F0C">
      <w:pPr>
        <w:spacing w:line="360" w:lineRule="auto"/>
        <w:ind w:firstLine="281"/>
        <w:rPr>
          <w:rFonts w:ascii="仿宋" w:hAnsi="仿宋" w:eastAsia="仿宋" w:cs="仿宋"/>
          <w:b/>
          <w:color w:val="000000"/>
          <w:sz w:val="28"/>
          <w:szCs w:val="28"/>
        </w:rPr>
      </w:pPr>
    </w:p>
    <w:p w14:paraId="11927F41">
      <w:pPr>
        <w:autoSpaceDE w:val="0"/>
        <w:autoSpaceDN w:val="0"/>
        <w:jc w:val="center"/>
        <w:rPr>
          <w:rFonts w:ascii="仿宋" w:hAnsi="仿宋" w:eastAsia="仿宋" w:cs="仿宋"/>
          <w:b/>
          <w:bCs/>
          <w:color w:val="000000"/>
          <w:sz w:val="32"/>
          <w:szCs w:val="32"/>
        </w:rPr>
      </w:pPr>
    </w:p>
    <w:p w14:paraId="595B6143">
      <w:pPr>
        <w:autoSpaceDE w:val="0"/>
        <w:autoSpaceDN w:val="0"/>
        <w:spacing w:line="360" w:lineRule="auto"/>
        <w:ind w:firstLine="1285" w:firstLineChars="400"/>
        <w:rPr>
          <w:rFonts w:ascii="仿宋" w:hAnsi="仿宋" w:eastAsia="仿宋" w:cs="仿宋"/>
          <w:b/>
          <w:bCs/>
          <w:color w:val="000000"/>
          <w:sz w:val="32"/>
          <w:szCs w:val="32"/>
        </w:rPr>
      </w:pPr>
      <w:r>
        <w:rPr>
          <w:rFonts w:hint="eastAsia" w:ascii="仿宋" w:hAnsi="仿宋" w:eastAsia="仿宋" w:cs="仿宋"/>
          <w:b/>
          <w:bCs/>
          <w:color w:val="000000"/>
          <w:sz w:val="32"/>
          <w:szCs w:val="32"/>
        </w:rPr>
        <w:t xml:space="preserve">合同编号：                      </w:t>
      </w:r>
    </w:p>
    <w:p w14:paraId="6C1E3FF4">
      <w:pPr>
        <w:autoSpaceDE w:val="0"/>
        <w:autoSpaceDN w:val="0"/>
        <w:spacing w:line="360" w:lineRule="auto"/>
        <w:ind w:firstLine="1285" w:firstLineChars="400"/>
        <w:rPr>
          <w:rFonts w:ascii="仿宋" w:hAnsi="仿宋" w:eastAsia="仿宋" w:cs="仿宋"/>
          <w:b/>
          <w:bCs/>
          <w:color w:val="000000"/>
          <w:sz w:val="32"/>
          <w:szCs w:val="32"/>
        </w:rPr>
      </w:pPr>
      <w:r>
        <w:rPr>
          <w:rFonts w:hint="eastAsia" w:ascii="仿宋" w:hAnsi="仿宋" w:eastAsia="仿宋" w:cs="仿宋"/>
          <w:b/>
          <w:bCs/>
          <w:color w:val="000000"/>
          <w:sz w:val="32"/>
          <w:szCs w:val="32"/>
        </w:rPr>
        <w:t>项目名称：江苏省高级人民法院密评项目</w:t>
      </w:r>
    </w:p>
    <w:p w14:paraId="10543531">
      <w:pPr>
        <w:autoSpaceDE w:val="0"/>
        <w:autoSpaceDN w:val="0"/>
        <w:spacing w:line="360" w:lineRule="auto"/>
        <w:ind w:firstLine="1285" w:firstLineChars="400"/>
        <w:rPr>
          <w:rFonts w:ascii="仿宋" w:hAnsi="仿宋" w:eastAsia="仿宋" w:cs="仿宋"/>
          <w:b/>
          <w:bCs/>
          <w:color w:val="000000"/>
          <w:sz w:val="32"/>
          <w:szCs w:val="32"/>
        </w:rPr>
      </w:pPr>
      <w:r>
        <w:rPr>
          <w:rFonts w:hint="eastAsia" w:ascii="仿宋" w:hAnsi="仿宋" w:eastAsia="仿宋" w:cs="仿宋"/>
          <w:b/>
          <w:bCs/>
          <w:color w:val="000000"/>
          <w:sz w:val="32"/>
          <w:szCs w:val="32"/>
        </w:rPr>
        <w:t xml:space="preserve">采 购 人：江苏省高级人民法院 </w:t>
      </w:r>
    </w:p>
    <w:p w14:paraId="1369ECF0">
      <w:pPr>
        <w:autoSpaceDE w:val="0"/>
        <w:autoSpaceDN w:val="0"/>
        <w:spacing w:line="360" w:lineRule="auto"/>
        <w:ind w:firstLine="1285" w:firstLineChars="400"/>
        <w:rPr>
          <w:rFonts w:ascii="仿宋" w:hAnsi="仿宋" w:eastAsia="仿宋" w:cs="仿宋"/>
          <w:b/>
          <w:bCs/>
          <w:color w:val="000000"/>
          <w:sz w:val="32"/>
          <w:szCs w:val="32"/>
        </w:rPr>
      </w:pPr>
      <w:r>
        <w:rPr>
          <w:rFonts w:hint="eastAsia" w:ascii="仿宋" w:hAnsi="仿宋" w:eastAsia="仿宋" w:cs="仿宋"/>
          <w:b/>
          <w:bCs/>
          <w:color w:val="000000"/>
          <w:sz w:val="32"/>
          <w:szCs w:val="32"/>
        </w:rPr>
        <w:t xml:space="preserve">供 应 商：                      </w:t>
      </w:r>
    </w:p>
    <w:p w14:paraId="39BB38E2">
      <w:pPr>
        <w:autoSpaceDE w:val="0"/>
        <w:autoSpaceDN w:val="0"/>
        <w:spacing w:line="360" w:lineRule="auto"/>
        <w:ind w:firstLine="1285" w:firstLineChars="400"/>
        <w:rPr>
          <w:rFonts w:ascii="仿宋" w:hAnsi="仿宋" w:eastAsia="仿宋" w:cs="仿宋"/>
          <w:b/>
          <w:bCs/>
          <w:color w:val="000000"/>
          <w:sz w:val="32"/>
          <w:szCs w:val="32"/>
        </w:rPr>
      </w:pPr>
      <w:r>
        <w:rPr>
          <w:rFonts w:hint="eastAsia" w:ascii="仿宋" w:hAnsi="仿宋" w:eastAsia="仿宋" w:cs="仿宋"/>
          <w:b/>
          <w:bCs/>
          <w:color w:val="000000"/>
          <w:sz w:val="32"/>
          <w:szCs w:val="32"/>
        </w:rPr>
        <w:t>签订日期：</w:t>
      </w:r>
    </w:p>
    <w:p w14:paraId="4C1CA086">
      <w:pPr>
        <w:autoSpaceDE w:val="0"/>
        <w:autoSpaceDN w:val="0"/>
        <w:jc w:val="center"/>
        <w:rPr>
          <w:rFonts w:ascii="仿宋" w:hAnsi="仿宋" w:eastAsia="仿宋" w:cs="仿宋"/>
          <w:b/>
          <w:bCs/>
          <w:color w:val="000000"/>
          <w:sz w:val="32"/>
          <w:szCs w:val="32"/>
        </w:rPr>
      </w:pPr>
    </w:p>
    <w:p w14:paraId="162E7950">
      <w:pPr>
        <w:rPr>
          <w:rFonts w:ascii="仿宋" w:hAnsi="仿宋" w:eastAsia="仿宋" w:cs="仿宋"/>
          <w:b/>
          <w:bCs/>
          <w:color w:val="000000"/>
          <w:sz w:val="32"/>
          <w:szCs w:val="32"/>
        </w:rPr>
      </w:pPr>
      <w:r>
        <w:rPr>
          <w:rFonts w:hint="eastAsia" w:ascii="仿宋" w:hAnsi="仿宋" w:eastAsia="仿宋" w:cs="仿宋"/>
          <w:b/>
          <w:bCs/>
          <w:color w:val="000000"/>
          <w:sz w:val="32"/>
          <w:szCs w:val="32"/>
        </w:rPr>
        <w:br w:type="page"/>
      </w:r>
    </w:p>
    <w:bookmarkEnd w:id="107"/>
    <w:bookmarkEnd w:id="108"/>
    <w:bookmarkEnd w:id="109"/>
    <w:bookmarkEnd w:id="110"/>
    <w:bookmarkEnd w:id="111"/>
    <w:bookmarkEnd w:id="112"/>
    <w:bookmarkEnd w:id="113"/>
    <w:p w14:paraId="62ED4ACC">
      <w:pPr>
        <w:wordWrap w:val="0"/>
        <w:autoSpaceDE w:val="0"/>
        <w:autoSpaceDN w:val="0"/>
        <w:adjustRightInd w:val="0"/>
        <w:snapToGrid w:val="0"/>
        <w:spacing w:line="360" w:lineRule="auto"/>
        <w:ind w:firstLine="360" w:firstLineChars="150"/>
        <w:rPr>
          <w:rFonts w:ascii="仿宋" w:hAnsi="仿宋" w:eastAsia="仿宋" w:cs="仿宋"/>
          <w:sz w:val="24"/>
          <w:szCs w:val="24"/>
        </w:rPr>
      </w:pPr>
      <w:bookmarkStart w:id="121" w:name="_Toc20823315"/>
      <w:bookmarkStart w:id="122" w:name="_Toc513029243"/>
      <w:bookmarkStart w:id="123" w:name="_Toc16938559"/>
      <w:r>
        <w:rPr>
          <w:rFonts w:hint="eastAsia" w:ascii="仿宋" w:hAnsi="仿宋" w:eastAsia="仿宋" w:cs="仿宋"/>
          <w:sz w:val="24"/>
          <w:szCs w:val="24"/>
        </w:rPr>
        <w:t>以下为成交后签定本项目合同的通用条款，采购当事人不得提出实质性的修改，关于专用条款将由采购人与成交供应商结合本项目具体情况协商后签定。</w:t>
      </w:r>
    </w:p>
    <w:bookmarkEnd w:id="121"/>
    <w:bookmarkEnd w:id="122"/>
    <w:bookmarkEnd w:id="123"/>
    <w:p w14:paraId="45294ED3">
      <w:pPr>
        <w:wordWrap w:val="0"/>
        <w:autoSpaceDE w:val="0"/>
        <w:autoSpaceDN w:val="0"/>
        <w:adjustRightInd w:val="0"/>
        <w:snapToGrid w:val="0"/>
        <w:spacing w:line="360" w:lineRule="auto"/>
        <w:ind w:firstLine="360" w:firstLineChars="150"/>
        <w:rPr>
          <w:rFonts w:ascii="仿宋" w:hAnsi="仿宋" w:eastAsia="仿宋" w:cs="仿宋"/>
          <w:sz w:val="24"/>
          <w:szCs w:val="24"/>
        </w:rPr>
      </w:pPr>
      <w:r>
        <w:rPr>
          <w:rFonts w:hint="eastAsia" w:ascii="仿宋" w:hAnsi="仿宋" w:eastAsia="仿宋" w:cs="仿宋"/>
          <w:sz w:val="24"/>
          <w:szCs w:val="24"/>
        </w:rPr>
        <w:t>项目名称：                                       项目编号：</w:t>
      </w:r>
    </w:p>
    <w:p w14:paraId="7868E15A">
      <w:pPr>
        <w:wordWrap w:val="0"/>
        <w:autoSpaceDE w:val="0"/>
        <w:autoSpaceDN w:val="0"/>
        <w:adjustRightInd w:val="0"/>
        <w:snapToGrid w:val="0"/>
        <w:spacing w:line="360" w:lineRule="auto"/>
        <w:ind w:firstLine="360" w:firstLineChars="150"/>
        <w:rPr>
          <w:rFonts w:ascii="仿宋" w:hAnsi="仿宋" w:eastAsia="仿宋" w:cs="仿宋"/>
          <w:sz w:val="24"/>
          <w:szCs w:val="24"/>
        </w:rPr>
      </w:pPr>
      <w:r>
        <w:rPr>
          <w:rFonts w:hint="eastAsia" w:ascii="仿宋" w:hAnsi="仿宋" w:eastAsia="仿宋" w:cs="仿宋"/>
          <w:sz w:val="24"/>
          <w:szCs w:val="24"/>
        </w:rPr>
        <w:t>甲方：（采购人）_________</w:t>
      </w:r>
    </w:p>
    <w:p w14:paraId="7E50AB70">
      <w:pPr>
        <w:wordWrap w:val="0"/>
        <w:autoSpaceDE w:val="0"/>
        <w:autoSpaceDN w:val="0"/>
        <w:adjustRightInd w:val="0"/>
        <w:snapToGrid w:val="0"/>
        <w:spacing w:line="360" w:lineRule="auto"/>
        <w:ind w:firstLine="360" w:firstLineChars="150"/>
        <w:rPr>
          <w:rFonts w:ascii="仿宋" w:hAnsi="仿宋" w:eastAsia="仿宋" w:cs="仿宋"/>
          <w:sz w:val="24"/>
          <w:szCs w:val="24"/>
        </w:rPr>
      </w:pPr>
      <w:r>
        <w:rPr>
          <w:rFonts w:hint="eastAsia" w:ascii="仿宋" w:hAnsi="仿宋" w:eastAsia="仿宋" w:cs="仿宋"/>
          <w:sz w:val="24"/>
          <w:szCs w:val="24"/>
        </w:rPr>
        <w:t>乙方：（供应商）_________</w:t>
      </w:r>
    </w:p>
    <w:p w14:paraId="588CDBAD">
      <w:pPr>
        <w:wordWrap w:val="0"/>
        <w:autoSpaceDE w:val="0"/>
        <w:autoSpaceDN w:val="0"/>
        <w:adjustRightInd w:val="0"/>
        <w:snapToGrid w:val="0"/>
        <w:spacing w:line="360" w:lineRule="auto"/>
        <w:ind w:firstLine="360" w:firstLineChars="150"/>
        <w:rPr>
          <w:rFonts w:ascii="仿宋" w:hAnsi="仿宋" w:eastAsia="仿宋" w:cs="仿宋"/>
          <w:sz w:val="24"/>
          <w:szCs w:val="24"/>
        </w:rPr>
      </w:pPr>
      <w:r>
        <w:rPr>
          <w:rFonts w:hint="eastAsia" w:ascii="仿宋" w:hAnsi="仿宋" w:eastAsia="仿宋" w:cs="仿宋"/>
          <w:sz w:val="24"/>
          <w:szCs w:val="24"/>
        </w:rPr>
        <w:t>见证方：南京达琛鑫工程咨询有限公司</w:t>
      </w:r>
    </w:p>
    <w:p w14:paraId="3682A205">
      <w:pPr>
        <w:numPr>
          <w:ilvl w:val="0"/>
          <w:numId w:val="8"/>
        </w:num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乙双方根据南京达琛鑫工程咨询有限公司关于[ 项目编号 ]的[ 项目名称 ]竞争性磋商的结果，根据《中华人民共和国政府采购法》、《中华人民共和国民法典》的规定，达成如下合同，并由双方共同恪守。</w:t>
      </w:r>
    </w:p>
    <w:p w14:paraId="4941CB5C">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1．合同文件</w:t>
      </w:r>
    </w:p>
    <w:p w14:paraId="60DF3556">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下列关于南京达琛鑫工程咨询有限公司NJDCX-202406120824编号的竞争性磋商文件、响应文件是构成本合同不可分割的部分：</w:t>
      </w:r>
    </w:p>
    <w:p w14:paraId="5895A324">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（1）合同条款；</w:t>
      </w:r>
    </w:p>
    <w:p w14:paraId="58AE50BB">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w:t>
      </w:r>
      <w:r>
        <w:rPr>
          <w:rFonts w:hint="eastAsia" w:ascii="仿宋" w:hAnsi="仿宋" w:eastAsia="仿宋" w:cs="仿宋"/>
          <w:sz w:val="24"/>
        </w:rPr>
        <w:t>采购文件、</w:t>
      </w:r>
      <w:r>
        <w:rPr>
          <w:rFonts w:hint="eastAsia" w:ascii="仿宋" w:hAnsi="仿宋" w:eastAsia="仿宋" w:cs="仿宋"/>
          <w:bCs/>
          <w:sz w:val="24"/>
        </w:rPr>
        <w:t>成交供应商提交的响应文件；</w:t>
      </w:r>
    </w:p>
    <w:p w14:paraId="62F5C87F">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（3）成交通知书；</w:t>
      </w:r>
    </w:p>
    <w:p w14:paraId="440EC5F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（4）采购人、成交供应商和见证方商定的其他必要文件。</w:t>
      </w:r>
    </w:p>
    <w:p w14:paraId="05465377">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合同文件是一个整体，其内容互为补充。如有意义不明确，由采购人和见证方负责解释。</w:t>
      </w:r>
    </w:p>
    <w:p w14:paraId="77C26DF5">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2．合同范围和条件</w:t>
      </w:r>
    </w:p>
    <w:p w14:paraId="7C11C8F7">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本合同的范围和条件应与上述合同文件的规定相一致。</w:t>
      </w:r>
    </w:p>
    <w:p w14:paraId="736E81D7">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3．合同内容</w:t>
      </w:r>
    </w:p>
    <w:p w14:paraId="2720645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本合同所涉及的内容详见竞争性磋商文件和合同条款。专用条款将由采购人与成交供应商结合本项目具体情况协商后签订。</w:t>
      </w:r>
    </w:p>
    <w:p w14:paraId="033D850F">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4．合同金额</w:t>
      </w:r>
    </w:p>
    <w:p w14:paraId="018AFA90">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根据上述合同文件要求，合同总金额（大写）为</w:t>
      </w:r>
      <w:r>
        <w:rPr>
          <w:rFonts w:hint="eastAsia" w:ascii="仿宋" w:hAnsi="仿宋" w:eastAsia="仿宋" w:cs="仿宋"/>
          <w:bCs/>
          <w:sz w:val="24"/>
          <w:u w:val="single"/>
        </w:rPr>
        <w:t xml:space="preserve">           </w:t>
      </w:r>
      <w:r>
        <w:rPr>
          <w:rFonts w:hint="eastAsia" w:ascii="仿宋" w:hAnsi="仿宋" w:eastAsia="仿宋" w:cs="仿宋"/>
          <w:bCs/>
          <w:sz w:val="24"/>
        </w:rPr>
        <w:t>，分项价格在报价表中有明确规定。合同执行过程中，如涉及合同总金额调整，需经采购人和磋商供应商共同协商一致，签订书面的补充协议确定。</w:t>
      </w:r>
    </w:p>
    <w:p w14:paraId="266AA322">
      <w:pPr>
        <w:snapToGrid w:val="0"/>
        <w:spacing w:line="360" w:lineRule="auto"/>
        <w:ind w:firstLine="482" w:firstLineChars="200"/>
        <w:rPr>
          <w:rFonts w:ascii="仿宋" w:hAnsi="仿宋" w:eastAsia="仿宋" w:cs="仿宋"/>
          <w:b/>
          <w:sz w:val="24"/>
        </w:rPr>
      </w:pPr>
      <w:bookmarkStart w:id="124" w:name="_Toc24634"/>
      <w:bookmarkStart w:id="125" w:name="_Toc13842"/>
      <w:bookmarkStart w:id="126" w:name="_Toc19590"/>
      <w:r>
        <w:rPr>
          <w:rFonts w:hint="eastAsia" w:ascii="仿宋" w:hAnsi="仿宋" w:eastAsia="仿宋" w:cs="仿宋"/>
          <w:b/>
          <w:sz w:val="24"/>
        </w:rPr>
        <w:t>5．付款方式</w:t>
      </w:r>
    </w:p>
    <w:p w14:paraId="5A4EDB75">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ja-JP" w:eastAsia="ja-JP"/>
        </w:rPr>
        <w:t>签订合同后支付合同总价款的</w:t>
      </w:r>
      <w:r>
        <w:rPr>
          <w:rFonts w:hint="eastAsia" w:ascii="仿宋" w:hAnsi="仿宋" w:eastAsia="仿宋" w:cs="仿宋"/>
          <w:sz w:val="24"/>
          <w:szCs w:val="24"/>
          <w:lang w:val="ja-JP"/>
        </w:rPr>
        <w:t>5</w:t>
      </w:r>
      <w:r>
        <w:rPr>
          <w:rFonts w:hint="eastAsia" w:ascii="仿宋" w:hAnsi="仿宋" w:eastAsia="仿宋" w:cs="仿宋"/>
          <w:sz w:val="24"/>
          <w:szCs w:val="24"/>
          <w:lang w:val="ja-JP" w:eastAsia="ja-JP"/>
        </w:rPr>
        <w:t>0%。</w:t>
      </w:r>
    </w:p>
    <w:p w14:paraId="02134968">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2、供应商按照评估服务要求，提交《密码应用安全性评估报告》，经</w:t>
      </w:r>
      <w:r>
        <w:rPr>
          <w:rFonts w:hint="eastAsia" w:ascii="仿宋" w:hAnsi="仿宋" w:eastAsia="仿宋" w:cs="仿宋"/>
          <w:sz w:val="24"/>
          <w:szCs w:val="24"/>
          <w:lang w:val="ja-JP"/>
        </w:rPr>
        <w:t>采购人</w:t>
      </w:r>
      <w:r>
        <w:rPr>
          <w:rFonts w:hint="eastAsia" w:ascii="仿宋" w:hAnsi="仿宋" w:eastAsia="仿宋" w:cs="仿宋"/>
          <w:sz w:val="24"/>
          <w:szCs w:val="24"/>
        </w:rPr>
        <w:t>确认无服务质量问题，支付合同总价款的40%。</w:t>
      </w:r>
    </w:p>
    <w:p w14:paraId="79417A0A">
      <w:pPr>
        <w:pStyle w:val="2"/>
        <w:spacing w:line="360" w:lineRule="auto"/>
        <w:rPr>
          <w:rFonts w:eastAsia="仿宋"/>
          <w:lang w:val="en-US"/>
        </w:rPr>
      </w:pPr>
      <w:r>
        <w:rPr>
          <w:rFonts w:hint="eastAsia" w:ascii="仿宋" w:hAnsi="仿宋" w:eastAsia="仿宋" w:cs="仿宋"/>
          <w:sz w:val="24"/>
          <w:szCs w:val="24"/>
          <w:lang w:val="en-US"/>
        </w:rPr>
        <w:t xml:space="preserve">    3、剩余尾款在项目服务期满后支付。</w:t>
      </w:r>
    </w:p>
    <w:p w14:paraId="049798F7">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4、付款之前需收到乙方开具的合法有效的相应金额发票。</w:t>
      </w:r>
    </w:p>
    <w:p w14:paraId="4CE48FAD">
      <w:pPr>
        <w:numPr>
          <w:ilvl w:val="0"/>
          <w:numId w:val="9"/>
        </w:numPr>
        <w:spacing w:line="360" w:lineRule="auto"/>
        <w:ind w:firstLine="482" w:firstLineChars="200"/>
        <w:rPr>
          <w:rFonts w:ascii="仿宋" w:hAnsi="仿宋" w:eastAsia="仿宋" w:cs="仿宋"/>
          <w:b/>
          <w:sz w:val="24"/>
          <w:szCs w:val="24"/>
        </w:rPr>
      </w:pPr>
      <w:r>
        <w:rPr>
          <w:rFonts w:hint="eastAsia" w:ascii="仿宋" w:hAnsi="仿宋" w:eastAsia="仿宋" w:cs="仿宋"/>
          <w:b/>
          <w:sz w:val="24"/>
          <w:szCs w:val="24"/>
        </w:rPr>
        <w:t>服务时间：</w:t>
      </w:r>
      <w:r>
        <w:rPr>
          <w:rFonts w:hint="eastAsia" w:ascii="仿宋" w:hAnsi="仿宋" w:eastAsia="仿宋" w:cs="仿宋"/>
          <w:bCs/>
          <w:sz w:val="24"/>
          <w:szCs w:val="24"/>
        </w:rPr>
        <w:t>自合同签订起1年内完成全部服务内容。</w:t>
      </w:r>
    </w:p>
    <w:p w14:paraId="760E644B">
      <w:pPr>
        <w:numPr>
          <w:ilvl w:val="0"/>
          <w:numId w:val="9"/>
        </w:numPr>
        <w:spacing w:line="360" w:lineRule="auto"/>
        <w:ind w:firstLine="482" w:firstLineChars="200"/>
        <w:rPr>
          <w:rFonts w:ascii="仿宋" w:hAnsi="仿宋" w:eastAsia="仿宋" w:cs="仿宋"/>
          <w:b/>
          <w:sz w:val="24"/>
          <w:szCs w:val="24"/>
        </w:rPr>
      </w:pPr>
      <w:r>
        <w:rPr>
          <w:rFonts w:hint="eastAsia" w:ascii="仿宋" w:hAnsi="仿宋" w:eastAsia="仿宋" w:cs="仿宋"/>
          <w:b/>
          <w:sz w:val="24"/>
          <w:szCs w:val="24"/>
        </w:rPr>
        <w:t>合同纠纷处理</w:t>
      </w:r>
    </w:p>
    <w:p w14:paraId="085A8079">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本合同履行过程中发生的合同纠纷，由甲乙双方联系处理。</w:t>
      </w:r>
    </w:p>
    <w:p w14:paraId="65152A95">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8．合同生效</w:t>
      </w:r>
    </w:p>
    <w:p w14:paraId="2F02C11F">
      <w:pPr>
        <w:pStyle w:val="2"/>
        <w:spacing w:line="360" w:lineRule="auto"/>
        <w:ind w:firstLine="480" w:firstLineChars="200"/>
        <w:rPr>
          <w:rFonts w:ascii="仿宋" w:hAnsi="仿宋" w:eastAsia="仿宋" w:cs="仿宋"/>
          <w:bCs/>
          <w:sz w:val="24"/>
          <w:szCs w:val="24"/>
        </w:rPr>
      </w:pPr>
      <w:r>
        <w:rPr>
          <w:rFonts w:hint="eastAsia" w:ascii="仿宋" w:hAnsi="仿宋" w:eastAsia="仿宋" w:cs="仿宋"/>
          <w:bCs/>
          <w:kern w:val="2"/>
          <w:sz w:val="24"/>
          <w:lang w:val="en-US" w:bidi="ar-SA"/>
        </w:rPr>
        <w:t>本合同经甲方、乙方授权代表签字盖章后生效。</w:t>
      </w:r>
    </w:p>
    <w:p w14:paraId="13933576">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9.诉讼</w:t>
      </w:r>
      <w:bookmarkEnd w:id="124"/>
    </w:p>
    <w:p w14:paraId="0FDED859">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双方在执行合同中所发生的一切争议，应通过协商解决。如协商不成，可向合同签订地法院起诉，合同签订地在此约定为南京市。</w:t>
      </w:r>
      <w:bookmarkStart w:id="127" w:name="_Toc21029"/>
    </w:p>
    <w:p w14:paraId="6C598B3C">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10.其它</w:t>
      </w:r>
      <w:bookmarkEnd w:id="127"/>
    </w:p>
    <w:p w14:paraId="7FFC2AC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10.1本合同未尽事宜，双方协商解决。</w:t>
      </w:r>
    </w:p>
    <w:p w14:paraId="43F665ED">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10.2本合同一式叁份，具有同等法律效力，甲方、乙方及代理机构各执一份。</w:t>
      </w:r>
      <w:bookmarkEnd w:id="125"/>
      <w:bookmarkEnd w:id="126"/>
    </w:p>
    <w:p w14:paraId="5FE85C92">
      <w:pPr>
        <w:tabs>
          <w:tab w:val="left" w:pos="900"/>
        </w:tabs>
        <w:spacing w:after="156" w:afterLines="50" w:line="400" w:lineRule="exact"/>
        <w:ind w:firstLine="477" w:firstLineChars="199"/>
        <w:rPr>
          <w:rFonts w:ascii="仿宋" w:hAnsi="仿宋" w:eastAsia="仿宋" w:cs="仿宋"/>
          <w:b/>
          <w:bCs/>
          <w:sz w:val="24"/>
        </w:rPr>
      </w:pPr>
      <w:r>
        <w:rPr>
          <w:rFonts w:hint="eastAsia" w:ascii="仿宋" w:hAnsi="仿宋" w:eastAsia="仿宋" w:cs="仿宋"/>
          <w:sz w:val="24"/>
        </w:rPr>
        <w:t xml:space="preserve">                         </w:t>
      </w:r>
    </w:p>
    <w:p w14:paraId="24B62254">
      <w:pPr>
        <w:tabs>
          <w:tab w:val="left" w:pos="900"/>
        </w:tabs>
        <w:spacing w:after="156" w:afterLines="50" w:line="400" w:lineRule="exact"/>
        <w:ind w:firstLine="479" w:firstLineChars="199"/>
        <w:rPr>
          <w:rFonts w:ascii="仿宋" w:hAnsi="仿宋" w:eastAsia="仿宋" w:cs="仿宋"/>
          <w:b/>
          <w:bCs/>
          <w:sz w:val="24"/>
          <w:szCs w:val="24"/>
        </w:rPr>
      </w:pPr>
      <w:r>
        <w:rPr>
          <w:rFonts w:hint="eastAsia" w:ascii="仿宋" w:hAnsi="仿宋" w:eastAsia="仿宋" w:cs="仿宋"/>
          <w:b/>
          <w:bCs/>
          <w:sz w:val="24"/>
        </w:rPr>
        <w:t>采购人声明：本合同标的经采购代理机构依法定程序采购，合同主要条款内容与采购文件的内容一致</w:t>
      </w:r>
      <w:r>
        <w:rPr>
          <w:rFonts w:hint="eastAsia" w:ascii="仿宋" w:hAnsi="仿宋" w:eastAsia="仿宋" w:cs="仿宋"/>
          <w:b/>
          <w:bCs/>
          <w:sz w:val="24"/>
          <w:szCs w:val="24"/>
        </w:rPr>
        <w:t>。</w:t>
      </w:r>
    </w:p>
    <w:p w14:paraId="583F4820">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代理机构：南京达琛鑫工程咨询有限公司（盖章）</w:t>
      </w:r>
    </w:p>
    <w:p w14:paraId="7E72AFA1">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地  址：南京秦淮区光华东街6号世界之窗创意产业园15幢4楼</w:t>
      </w:r>
    </w:p>
    <w:p w14:paraId="52AFC672">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经办人：王工</w:t>
      </w:r>
    </w:p>
    <w:p w14:paraId="3D2FCFAD">
      <w:pPr>
        <w:spacing w:line="360" w:lineRule="auto"/>
        <w:ind w:firstLine="482" w:firstLineChars="200"/>
        <w:rPr>
          <w:rFonts w:ascii="仿宋" w:hAnsi="仿宋" w:eastAsia="仿宋" w:cs="仿宋"/>
          <w:b/>
          <w:bCs/>
          <w:sz w:val="24"/>
          <w:szCs w:val="24"/>
        </w:rPr>
      </w:pPr>
    </w:p>
    <w:p w14:paraId="77BE295A">
      <w:pPr>
        <w:spacing w:line="360" w:lineRule="auto"/>
        <w:ind w:firstLine="482" w:firstLineChars="200"/>
        <w:rPr>
          <w:rFonts w:ascii="仿宋" w:hAnsi="仿宋" w:eastAsia="仿宋" w:cs="仿宋"/>
          <w:b/>
          <w:bCs/>
          <w:sz w:val="24"/>
          <w:szCs w:val="24"/>
        </w:rPr>
      </w:pPr>
    </w:p>
    <w:p w14:paraId="22AFDD6F">
      <w:pPr>
        <w:spacing w:line="360" w:lineRule="auto"/>
        <w:ind w:firstLine="6000" w:firstLineChars="2500"/>
        <w:rPr>
          <w:rFonts w:ascii="仿宋" w:hAnsi="仿宋" w:eastAsia="仿宋" w:cs="仿宋"/>
          <w:sz w:val="24"/>
          <w:szCs w:val="24"/>
        </w:rPr>
      </w:pPr>
      <w:r>
        <w:rPr>
          <w:rFonts w:hint="eastAsia" w:ascii="仿宋" w:hAnsi="仿宋" w:eastAsia="仿宋" w:cs="仿宋"/>
          <w:sz w:val="24"/>
          <w:szCs w:val="24"/>
        </w:rPr>
        <w:t>2024年  月  日</w:t>
      </w:r>
    </w:p>
    <w:p w14:paraId="50F14E60">
      <w:pPr>
        <w:pStyle w:val="19"/>
        <w:ind w:firstLine="480"/>
        <w:rPr>
          <w:rFonts w:ascii="仿宋" w:hAnsi="仿宋" w:eastAsia="仿宋" w:cs="仿宋"/>
          <w:sz w:val="24"/>
        </w:rPr>
      </w:pPr>
    </w:p>
    <w:p w14:paraId="435E1A5A">
      <w:pPr>
        <w:rPr>
          <w:rFonts w:ascii="仿宋" w:hAnsi="仿宋" w:eastAsia="仿宋" w:cs="仿宋"/>
          <w:sz w:val="24"/>
        </w:rPr>
      </w:pPr>
    </w:p>
    <w:p w14:paraId="6754FC87">
      <w:pPr>
        <w:pStyle w:val="19"/>
        <w:ind w:firstLine="480"/>
        <w:rPr>
          <w:rFonts w:ascii="仿宋" w:hAnsi="仿宋" w:eastAsia="仿宋" w:cs="仿宋"/>
          <w:sz w:val="24"/>
        </w:rPr>
      </w:pPr>
    </w:p>
    <w:p w14:paraId="49D0FCEB">
      <w:pPr>
        <w:rPr>
          <w:rFonts w:ascii="仿宋" w:hAnsi="仿宋" w:eastAsia="仿宋" w:cs="仿宋"/>
          <w:sz w:val="24"/>
        </w:rPr>
      </w:pPr>
    </w:p>
    <w:p w14:paraId="4BB56455">
      <w:pPr>
        <w:pStyle w:val="29"/>
        <w:pageBreakBefore/>
        <w:spacing w:after="312" w:line="360" w:lineRule="auto"/>
        <w:rPr>
          <w:rFonts w:ascii="仿宋" w:hAnsi="仿宋" w:eastAsia="仿宋" w:cs="仿宋"/>
          <w:color w:val="000000"/>
          <w:sz w:val="40"/>
        </w:rPr>
      </w:pPr>
      <w:bookmarkStart w:id="128" w:name="_Toc31740"/>
      <w:bookmarkStart w:id="129" w:name="_Toc7808"/>
      <w:bookmarkStart w:id="130" w:name="_Toc22438"/>
      <w:bookmarkStart w:id="131" w:name="_Toc15751"/>
      <w:bookmarkStart w:id="132" w:name="_Toc25170482"/>
      <w:bookmarkStart w:id="133" w:name="_Toc3659"/>
      <w:bookmarkStart w:id="134" w:name="_Toc15998"/>
      <w:r>
        <w:rPr>
          <w:rFonts w:hint="eastAsia" w:ascii="仿宋" w:hAnsi="仿宋" w:eastAsia="仿宋" w:cs="仿宋"/>
          <w:color w:val="000000"/>
          <w:sz w:val="40"/>
        </w:rPr>
        <w:t>第四章  项目需求</w:t>
      </w:r>
      <w:bookmarkEnd w:id="114"/>
      <w:bookmarkEnd w:id="115"/>
      <w:bookmarkEnd w:id="128"/>
      <w:bookmarkEnd w:id="129"/>
      <w:bookmarkEnd w:id="130"/>
      <w:bookmarkEnd w:id="131"/>
      <w:bookmarkEnd w:id="132"/>
      <w:bookmarkEnd w:id="133"/>
      <w:bookmarkEnd w:id="134"/>
      <w:bookmarkStart w:id="135" w:name="_Toc324237156"/>
      <w:bookmarkStart w:id="136" w:name="_Toc18960"/>
    </w:p>
    <w:p w14:paraId="4E195C2E">
      <w:pPr>
        <w:pStyle w:val="30"/>
        <w:numPr>
          <w:ilvl w:val="0"/>
          <w:numId w:val="0"/>
        </w:numPr>
        <w:tabs>
          <w:tab w:val="clear" w:pos="720"/>
        </w:tabs>
        <w:spacing w:line="360" w:lineRule="auto"/>
        <w:rPr>
          <w:rFonts w:ascii="仿宋" w:hAnsi="仿宋" w:eastAsia="仿宋" w:cs="仿宋"/>
          <w:lang w:val="zh-CN"/>
        </w:rPr>
      </w:pPr>
      <w:bookmarkStart w:id="137" w:name="_Toc9966"/>
      <w:bookmarkStart w:id="138" w:name="_Toc18696"/>
      <w:bookmarkStart w:id="139" w:name="_Toc20631"/>
      <w:bookmarkStart w:id="140" w:name="_Toc23953_WPSOffice_Level2"/>
      <w:bookmarkStart w:id="141" w:name="_Toc22807"/>
      <w:bookmarkStart w:id="142" w:name="_Toc23959"/>
      <w:bookmarkStart w:id="143" w:name="_Toc17972"/>
      <w:bookmarkStart w:id="144" w:name="_Toc20831"/>
      <w:bookmarkStart w:id="145" w:name="_Toc16552"/>
      <w:bookmarkStart w:id="146" w:name="_Toc9326"/>
      <w:bookmarkStart w:id="147" w:name="_Toc12689"/>
      <w:bookmarkStart w:id="148" w:name="_Toc17931"/>
      <w:r>
        <w:rPr>
          <w:rFonts w:hint="eastAsia" w:ascii="仿宋" w:hAnsi="仿宋" w:eastAsia="仿宋" w:cs="仿宋"/>
          <w:lang w:val="zh-CN"/>
        </w:rPr>
        <w:t>一、项目概况</w:t>
      </w:r>
      <w:bookmarkEnd w:id="137"/>
      <w:bookmarkEnd w:id="138"/>
      <w:bookmarkEnd w:id="139"/>
      <w:bookmarkEnd w:id="140"/>
      <w:bookmarkEnd w:id="141"/>
      <w:bookmarkEnd w:id="142"/>
      <w:bookmarkEnd w:id="143"/>
      <w:bookmarkEnd w:id="144"/>
      <w:bookmarkEnd w:id="145"/>
      <w:bookmarkEnd w:id="146"/>
      <w:bookmarkEnd w:id="147"/>
      <w:bookmarkEnd w:id="148"/>
    </w:p>
    <w:p w14:paraId="77C9F6FC">
      <w:pPr>
        <w:widowControl/>
        <w:spacing w:line="360" w:lineRule="auto"/>
        <w:ind w:firstLine="480" w:firstLineChars="200"/>
        <w:jc w:val="left"/>
        <w:rPr>
          <w:rFonts w:ascii="仿宋" w:hAnsi="仿宋" w:eastAsia="仿宋" w:cs="仿宋"/>
          <w:sz w:val="24"/>
          <w:szCs w:val="24"/>
          <w:lang w:val="zh-CN"/>
        </w:rPr>
      </w:pPr>
      <w:r>
        <w:rPr>
          <w:rFonts w:hint="eastAsia" w:ascii="仿宋" w:hAnsi="仿宋" w:eastAsia="仿宋" w:cs="仿宋"/>
          <w:sz w:val="24"/>
          <w:szCs w:val="24"/>
          <w:lang w:val="zh-CN"/>
        </w:rPr>
        <w:t>根据《中华人民共和国密码法》、《国家政务信息化项目建设管理办法》、《江苏省省级政务信息化项目建设管理办法》等要求，结合项目建设总体规划，需对江苏省高级人民法院的信息系统开展商用密码应用安全性测评，深入查找网络安全的薄弱环节和安全隐患，分析面临的风险，确保系统安全性。</w:t>
      </w:r>
    </w:p>
    <w:p w14:paraId="38BE5301">
      <w:pPr>
        <w:pStyle w:val="30"/>
        <w:numPr>
          <w:ilvl w:val="0"/>
          <w:numId w:val="0"/>
        </w:numPr>
        <w:tabs>
          <w:tab w:val="clear" w:pos="720"/>
        </w:tabs>
        <w:spacing w:line="360" w:lineRule="auto"/>
        <w:rPr>
          <w:rFonts w:ascii="仿宋" w:hAnsi="仿宋" w:eastAsia="仿宋" w:cs="仿宋"/>
        </w:rPr>
      </w:pPr>
      <w:bookmarkStart w:id="149" w:name="_Toc7528"/>
      <w:bookmarkStart w:id="150" w:name="_Toc26826"/>
      <w:bookmarkStart w:id="151" w:name="_Toc28185"/>
      <w:bookmarkStart w:id="152" w:name="_Toc13305"/>
      <w:bookmarkStart w:id="153" w:name="_Toc2230"/>
      <w:bookmarkStart w:id="154" w:name="_Toc3484"/>
      <w:bookmarkStart w:id="155" w:name="_Toc5366"/>
      <w:bookmarkStart w:id="156" w:name="_Toc26342_WPSOffice_Level2"/>
      <w:bookmarkStart w:id="157" w:name="_Toc32414"/>
      <w:r>
        <w:rPr>
          <w:rFonts w:hint="eastAsia" w:ascii="仿宋" w:hAnsi="仿宋" w:eastAsia="仿宋" w:cs="仿宋"/>
          <w:lang w:val="zh-CN"/>
        </w:rPr>
        <w:t>二、</w:t>
      </w:r>
      <w:bookmarkEnd w:id="149"/>
      <w:bookmarkEnd w:id="150"/>
      <w:bookmarkEnd w:id="151"/>
      <w:bookmarkEnd w:id="152"/>
      <w:bookmarkEnd w:id="153"/>
      <w:bookmarkEnd w:id="154"/>
      <w:bookmarkEnd w:id="155"/>
      <w:bookmarkEnd w:id="156"/>
      <w:bookmarkEnd w:id="157"/>
      <w:r>
        <w:rPr>
          <w:rFonts w:hint="eastAsia" w:ascii="仿宋" w:hAnsi="仿宋" w:eastAsia="仿宋" w:cs="仿宋"/>
        </w:rPr>
        <w:t>评估服务要求</w:t>
      </w:r>
    </w:p>
    <w:p w14:paraId="0FF9ADC0">
      <w:pPr>
        <w:widowControl/>
        <w:spacing w:line="360" w:lineRule="auto"/>
        <w:ind w:firstLine="480" w:firstLineChars="200"/>
        <w:jc w:val="left"/>
        <w:rPr>
          <w:rFonts w:ascii="仿宋" w:hAnsi="仿宋" w:eastAsia="仿宋" w:cs="仿宋"/>
          <w:sz w:val="24"/>
          <w:szCs w:val="24"/>
          <w:lang w:val="zh-CN"/>
        </w:rPr>
      </w:pPr>
      <w:bookmarkStart w:id="158" w:name="_Toc20564"/>
      <w:bookmarkStart w:id="159" w:name="_Toc8390"/>
      <w:bookmarkStart w:id="160" w:name="_Toc15243_WPSOffice_Level2"/>
      <w:bookmarkStart w:id="161" w:name="_Toc9099"/>
      <w:bookmarkStart w:id="162" w:name="_Toc24135"/>
      <w:bookmarkStart w:id="163" w:name="_Toc1220"/>
      <w:bookmarkStart w:id="164" w:name="_Toc181"/>
      <w:bookmarkStart w:id="165" w:name="_Toc13149"/>
      <w:r>
        <w:rPr>
          <w:rFonts w:hint="eastAsia" w:ascii="仿宋" w:hAnsi="仿宋" w:eastAsia="仿宋" w:cs="仿宋"/>
          <w:sz w:val="24"/>
          <w:szCs w:val="24"/>
          <w:lang w:val="zh-CN"/>
        </w:rPr>
        <w:t>依据GB/T39786-2021《信息安全技术 信息系统密码应用基本要求》、GB/T 43206-2023《信息安全技术 信息系统密码应用测评要求》、GB/T 43207-2023《信息安全技术 信息系统密码应用设计指南》、GM/T 0115-2021《信息系统密码应用测评要求》、GM/T 0116-2021《信息系统密码应用测评过程指南》等标准规范，对江苏省高级人民法院的信息系统进行密码应用安全性评估。</w:t>
      </w:r>
    </w:p>
    <w:p w14:paraId="1E68466D">
      <w:pPr>
        <w:autoSpaceDE w:val="0"/>
        <w:autoSpaceDN w:val="0"/>
        <w:spacing w:line="360" w:lineRule="auto"/>
        <w:ind w:firstLine="482" w:firstLineChars="200"/>
        <w:jc w:val="left"/>
        <w:rPr>
          <w:rFonts w:ascii="仿宋" w:hAnsi="仿宋" w:eastAsia="仿宋" w:cs="仿宋"/>
          <w:b/>
          <w:bCs/>
          <w:kern w:val="0"/>
          <w:sz w:val="24"/>
          <w:szCs w:val="24"/>
          <w:lang w:val="ja-JP" w:eastAsia="ja-JP" w:bidi="ja-JP"/>
        </w:rPr>
      </w:pPr>
      <w:r>
        <w:rPr>
          <w:rFonts w:hint="eastAsia" w:ascii="仿宋" w:hAnsi="仿宋" w:eastAsia="仿宋" w:cs="仿宋"/>
          <w:b/>
          <w:bCs/>
          <w:kern w:val="0"/>
          <w:sz w:val="24"/>
          <w:szCs w:val="24"/>
          <w:lang w:val="ja-JP" w:bidi="ja-JP"/>
        </w:rPr>
        <w:t>1、</w:t>
      </w:r>
      <w:r>
        <w:rPr>
          <w:rFonts w:hint="eastAsia" w:ascii="仿宋" w:hAnsi="仿宋" w:eastAsia="仿宋" w:cs="仿宋"/>
          <w:b/>
          <w:bCs/>
          <w:kern w:val="0"/>
          <w:sz w:val="24"/>
          <w:szCs w:val="24"/>
          <w:lang w:val="ja-JP" w:eastAsia="ja-JP" w:bidi="ja-JP"/>
        </w:rPr>
        <w:t>测评过程要求</w:t>
      </w:r>
    </w:p>
    <w:p w14:paraId="0B5966D5">
      <w:pPr>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（一）测评准备</w:t>
      </w:r>
    </w:p>
    <w:p w14:paraId="1FF9FEF8">
      <w:pPr>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通过需求沟通调研对密评的组织实施流程、时间节点等基础信息进行沟通审核，确认服务需求和工作需求。</w:t>
      </w:r>
    </w:p>
    <w:p w14:paraId="5696B932">
      <w:pPr>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（二）方案编制</w:t>
      </w:r>
    </w:p>
    <w:p w14:paraId="6D94E349">
      <w:pPr>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按照评估准备实施的工作要求，与业务研发运维部门技术团队和保障团队沟通评估所需基础素材、文档等必要信息，编制测评方案。</w:t>
      </w:r>
    </w:p>
    <w:p w14:paraId="5D932039">
      <w:pPr>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（三）现场测评</w:t>
      </w:r>
    </w:p>
    <w:p w14:paraId="7570186A">
      <w:pPr>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在系统真实环境下进行测评，以评估密码保障是否安全有效，密码使用是否合规、正确、有效，并通过评测发现系统存在的安全隐患和风险，提出可行性完善建议。</w:t>
      </w:r>
    </w:p>
    <w:p w14:paraId="504439E2">
      <w:pPr>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（四）出具报告</w:t>
      </w:r>
    </w:p>
    <w:p w14:paraId="15B30808">
      <w:pPr>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根据测评要求，出具评估报告、整改建议，明确具体措施、效果要求。</w:t>
      </w:r>
    </w:p>
    <w:p w14:paraId="6A784F47">
      <w:pPr>
        <w:autoSpaceDE w:val="0"/>
        <w:autoSpaceDN w:val="0"/>
        <w:spacing w:line="360" w:lineRule="auto"/>
        <w:ind w:firstLine="482" w:firstLineChars="200"/>
        <w:jc w:val="left"/>
        <w:rPr>
          <w:rFonts w:ascii="仿宋" w:hAnsi="仿宋" w:eastAsia="仿宋" w:cs="仿宋"/>
          <w:b/>
          <w:bCs/>
          <w:kern w:val="0"/>
          <w:sz w:val="24"/>
          <w:szCs w:val="24"/>
          <w:lang w:val="ja-JP" w:bidi="ja-JP"/>
        </w:rPr>
      </w:pPr>
      <w:r>
        <w:rPr>
          <w:rFonts w:hint="eastAsia" w:ascii="仿宋" w:hAnsi="仿宋" w:eastAsia="仿宋" w:cs="仿宋"/>
          <w:b/>
          <w:bCs/>
          <w:kern w:val="0"/>
          <w:sz w:val="24"/>
          <w:szCs w:val="24"/>
          <w:lang w:bidi="ja-JP"/>
        </w:rPr>
        <w:t>2、</w:t>
      </w:r>
      <w:r>
        <w:rPr>
          <w:rFonts w:hint="eastAsia" w:ascii="仿宋" w:hAnsi="仿宋" w:eastAsia="仿宋" w:cs="仿宋"/>
          <w:b/>
          <w:bCs/>
          <w:kern w:val="0"/>
          <w:sz w:val="24"/>
          <w:szCs w:val="24"/>
          <w:lang w:val="ja-JP" w:bidi="ja-JP"/>
        </w:rPr>
        <w:t>测评内容要求</w:t>
      </w:r>
    </w:p>
    <w:p w14:paraId="6EF6BB64">
      <w:pPr>
        <w:tabs>
          <w:tab w:val="left" w:pos="900"/>
        </w:tabs>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（一）测评系统范围</w:t>
      </w:r>
    </w:p>
    <w:tbl>
      <w:tblPr>
        <w:tblStyle w:val="21"/>
        <w:tblW w:w="9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2349"/>
        <w:gridCol w:w="1167"/>
        <w:gridCol w:w="1917"/>
        <w:gridCol w:w="1656"/>
        <w:gridCol w:w="1345"/>
      </w:tblGrid>
      <w:tr w14:paraId="4E3BC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vAlign w:val="center"/>
          </w:tcPr>
          <w:p w14:paraId="785ED864">
            <w:pPr>
              <w:jc w:val="center"/>
              <w:rPr>
                <w:rFonts w:ascii="仿宋" w:hAnsi="仿宋" w:eastAsia="仿宋" w:cs="仿宋"/>
                <w:sz w:val="24"/>
                <w:szCs w:val="24"/>
              </w:rPr>
            </w:pPr>
            <w:r>
              <w:rPr>
                <w:rFonts w:hint="eastAsia" w:ascii="仿宋" w:hAnsi="仿宋" w:eastAsia="仿宋"/>
                <w:sz w:val="24"/>
                <w:szCs w:val="24"/>
              </w:rPr>
              <w:t>序号</w:t>
            </w:r>
          </w:p>
        </w:tc>
        <w:tc>
          <w:tcPr>
            <w:tcW w:w="2349" w:type="dxa"/>
            <w:vAlign w:val="center"/>
          </w:tcPr>
          <w:p w14:paraId="0BAAA8F8">
            <w:pPr>
              <w:jc w:val="center"/>
              <w:rPr>
                <w:rFonts w:ascii="仿宋" w:hAnsi="仿宋" w:eastAsia="仿宋" w:cs="仿宋"/>
                <w:sz w:val="24"/>
                <w:szCs w:val="24"/>
              </w:rPr>
            </w:pPr>
            <w:r>
              <w:rPr>
                <w:rFonts w:hint="eastAsia" w:ascii="仿宋" w:hAnsi="仿宋" w:eastAsia="仿宋"/>
                <w:sz w:val="24"/>
                <w:szCs w:val="24"/>
              </w:rPr>
              <w:t>系统名称</w:t>
            </w:r>
          </w:p>
        </w:tc>
        <w:tc>
          <w:tcPr>
            <w:tcW w:w="1167" w:type="dxa"/>
            <w:vAlign w:val="center"/>
          </w:tcPr>
          <w:p w14:paraId="52D9F573">
            <w:pPr>
              <w:jc w:val="center"/>
              <w:rPr>
                <w:rFonts w:ascii="仿宋" w:hAnsi="仿宋" w:eastAsia="仿宋" w:cs="仿宋"/>
                <w:sz w:val="24"/>
                <w:szCs w:val="24"/>
              </w:rPr>
            </w:pPr>
            <w:r>
              <w:rPr>
                <w:rFonts w:hint="eastAsia" w:ascii="仿宋" w:hAnsi="仿宋" w:eastAsia="仿宋"/>
                <w:sz w:val="24"/>
                <w:szCs w:val="24"/>
              </w:rPr>
              <w:t>安全保护等级</w:t>
            </w:r>
          </w:p>
        </w:tc>
        <w:tc>
          <w:tcPr>
            <w:tcW w:w="1917" w:type="dxa"/>
            <w:vAlign w:val="center"/>
          </w:tcPr>
          <w:p w14:paraId="78524D1C">
            <w:pPr>
              <w:jc w:val="center"/>
              <w:rPr>
                <w:rFonts w:ascii="仿宋" w:hAnsi="仿宋" w:eastAsia="仿宋" w:cs="仿宋"/>
                <w:sz w:val="24"/>
                <w:szCs w:val="24"/>
              </w:rPr>
            </w:pPr>
            <w:r>
              <w:rPr>
                <w:rFonts w:hint="eastAsia" w:ascii="仿宋" w:hAnsi="仿宋" w:eastAsia="仿宋" w:cs="仿宋"/>
                <w:sz w:val="24"/>
                <w:szCs w:val="24"/>
              </w:rPr>
              <w:t>服务内容</w:t>
            </w:r>
          </w:p>
        </w:tc>
        <w:tc>
          <w:tcPr>
            <w:tcW w:w="1656" w:type="dxa"/>
            <w:vAlign w:val="center"/>
          </w:tcPr>
          <w:p w14:paraId="2FBBB939">
            <w:pPr>
              <w:jc w:val="center"/>
              <w:rPr>
                <w:rFonts w:ascii="仿宋" w:hAnsi="仿宋" w:eastAsia="仿宋" w:cs="仿宋"/>
                <w:sz w:val="24"/>
                <w:szCs w:val="24"/>
              </w:rPr>
            </w:pPr>
            <w:r>
              <w:rPr>
                <w:rFonts w:hint="eastAsia" w:ascii="仿宋" w:hAnsi="仿宋" w:eastAsia="仿宋" w:cs="仿宋"/>
                <w:sz w:val="24"/>
                <w:szCs w:val="24"/>
              </w:rPr>
              <w:t>服务时间</w:t>
            </w:r>
          </w:p>
        </w:tc>
        <w:tc>
          <w:tcPr>
            <w:tcW w:w="1345" w:type="dxa"/>
            <w:vAlign w:val="center"/>
          </w:tcPr>
          <w:p w14:paraId="1073C463">
            <w:pPr>
              <w:jc w:val="center"/>
              <w:rPr>
                <w:rFonts w:ascii="仿宋" w:hAnsi="仿宋" w:eastAsia="仿宋" w:cs="仿宋"/>
                <w:sz w:val="24"/>
                <w:szCs w:val="24"/>
              </w:rPr>
            </w:pPr>
            <w:r>
              <w:rPr>
                <w:rFonts w:hint="eastAsia" w:ascii="仿宋" w:hAnsi="仿宋" w:eastAsia="仿宋" w:cs="仿宋"/>
                <w:sz w:val="24"/>
                <w:szCs w:val="24"/>
              </w:rPr>
              <w:t>服务地点</w:t>
            </w:r>
          </w:p>
        </w:tc>
      </w:tr>
      <w:tr w14:paraId="416AB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094" w:type="dxa"/>
            <w:vAlign w:val="center"/>
          </w:tcPr>
          <w:p w14:paraId="5F54D165">
            <w:pPr>
              <w:jc w:val="center"/>
              <w:rPr>
                <w:rFonts w:ascii="仿宋" w:hAnsi="仿宋" w:eastAsia="仿宋" w:cs="仿宋"/>
                <w:sz w:val="24"/>
                <w:szCs w:val="24"/>
              </w:rPr>
            </w:pPr>
            <w:r>
              <w:rPr>
                <w:rFonts w:hint="eastAsia" w:ascii="仿宋" w:hAnsi="仿宋" w:eastAsia="仿宋"/>
                <w:sz w:val="24"/>
                <w:szCs w:val="24"/>
              </w:rPr>
              <w:t>1</w:t>
            </w:r>
          </w:p>
        </w:tc>
        <w:tc>
          <w:tcPr>
            <w:tcW w:w="2349" w:type="dxa"/>
            <w:vAlign w:val="center"/>
          </w:tcPr>
          <w:p w14:paraId="5019C0E5">
            <w:pPr>
              <w:jc w:val="center"/>
              <w:rPr>
                <w:rFonts w:ascii="仿宋" w:hAnsi="仿宋" w:eastAsia="仿宋" w:cs="仿宋"/>
                <w:sz w:val="24"/>
                <w:szCs w:val="24"/>
              </w:rPr>
            </w:pPr>
            <w:r>
              <w:rPr>
                <w:rFonts w:hint="eastAsia" w:ascii="仿宋" w:hAnsi="仿宋" w:eastAsia="仿宋"/>
                <w:sz w:val="24"/>
                <w:szCs w:val="24"/>
              </w:rPr>
              <w:t>对外公开服务系统</w:t>
            </w:r>
          </w:p>
        </w:tc>
        <w:tc>
          <w:tcPr>
            <w:tcW w:w="1167" w:type="dxa"/>
            <w:vAlign w:val="center"/>
          </w:tcPr>
          <w:p w14:paraId="0AFE4A9D">
            <w:pPr>
              <w:jc w:val="center"/>
              <w:rPr>
                <w:rFonts w:ascii="仿宋" w:hAnsi="仿宋" w:eastAsia="仿宋" w:cs="仿宋"/>
                <w:sz w:val="24"/>
                <w:szCs w:val="24"/>
              </w:rPr>
            </w:pPr>
            <w:r>
              <w:rPr>
                <w:rFonts w:hint="eastAsia" w:ascii="仿宋" w:hAnsi="仿宋" w:eastAsia="仿宋"/>
                <w:sz w:val="24"/>
                <w:szCs w:val="24"/>
              </w:rPr>
              <w:t>三级</w:t>
            </w:r>
          </w:p>
        </w:tc>
        <w:tc>
          <w:tcPr>
            <w:tcW w:w="1917" w:type="dxa"/>
            <w:vAlign w:val="center"/>
          </w:tcPr>
          <w:p w14:paraId="0A5DA6F5">
            <w:pPr>
              <w:jc w:val="center"/>
              <w:rPr>
                <w:rFonts w:ascii="仿宋" w:hAnsi="仿宋" w:eastAsia="仿宋" w:cs="仿宋"/>
                <w:sz w:val="24"/>
                <w:szCs w:val="24"/>
              </w:rPr>
            </w:pPr>
            <w:r>
              <w:rPr>
                <w:rFonts w:hint="eastAsia" w:ascii="仿宋" w:hAnsi="仿宋" w:eastAsia="仿宋" w:cs="仿宋"/>
                <w:sz w:val="24"/>
                <w:szCs w:val="24"/>
              </w:rPr>
              <w:t>商用密码应用安全性评估服务</w:t>
            </w:r>
          </w:p>
        </w:tc>
        <w:tc>
          <w:tcPr>
            <w:tcW w:w="1656" w:type="dxa"/>
            <w:vAlign w:val="center"/>
          </w:tcPr>
          <w:p w14:paraId="69386699">
            <w:pPr>
              <w:jc w:val="center"/>
              <w:rPr>
                <w:rFonts w:ascii="仿宋" w:hAnsi="仿宋" w:eastAsia="仿宋" w:cs="仿宋"/>
                <w:sz w:val="24"/>
                <w:szCs w:val="24"/>
              </w:rPr>
            </w:pPr>
            <w:r>
              <w:rPr>
                <w:rFonts w:hint="eastAsia" w:ascii="仿宋" w:hAnsi="仿宋" w:eastAsia="仿宋" w:cs="仿宋"/>
                <w:sz w:val="24"/>
                <w:szCs w:val="24"/>
              </w:rPr>
              <w:t>合同签订后一年内完成</w:t>
            </w:r>
          </w:p>
        </w:tc>
        <w:tc>
          <w:tcPr>
            <w:tcW w:w="1345" w:type="dxa"/>
            <w:vAlign w:val="center"/>
          </w:tcPr>
          <w:p w14:paraId="7D3C0CDC">
            <w:pPr>
              <w:jc w:val="center"/>
              <w:rPr>
                <w:rFonts w:ascii="仿宋" w:hAnsi="仿宋" w:eastAsia="仿宋" w:cs="仿宋"/>
                <w:sz w:val="24"/>
                <w:szCs w:val="24"/>
              </w:rPr>
            </w:pPr>
            <w:r>
              <w:rPr>
                <w:rFonts w:hint="eastAsia" w:ascii="仿宋" w:hAnsi="仿宋" w:eastAsia="仿宋" w:cs="仿宋"/>
                <w:sz w:val="24"/>
                <w:szCs w:val="24"/>
              </w:rPr>
              <w:t>现场服务+远程服务</w:t>
            </w:r>
          </w:p>
        </w:tc>
      </w:tr>
      <w:tr w14:paraId="4E919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vAlign w:val="center"/>
          </w:tcPr>
          <w:p w14:paraId="0EC7F350">
            <w:pPr>
              <w:jc w:val="center"/>
              <w:rPr>
                <w:rFonts w:ascii="仿宋" w:hAnsi="仿宋" w:eastAsia="仿宋" w:cs="仿宋"/>
                <w:sz w:val="24"/>
                <w:szCs w:val="24"/>
              </w:rPr>
            </w:pPr>
            <w:r>
              <w:rPr>
                <w:rFonts w:hint="eastAsia" w:ascii="仿宋" w:hAnsi="仿宋" w:eastAsia="仿宋"/>
                <w:sz w:val="24"/>
                <w:szCs w:val="24"/>
              </w:rPr>
              <w:t>2</w:t>
            </w:r>
          </w:p>
        </w:tc>
        <w:tc>
          <w:tcPr>
            <w:tcW w:w="2349" w:type="dxa"/>
            <w:vAlign w:val="center"/>
          </w:tcPr>
          <w:p w14:paraId="58DEB1BB">
            <w:pPr>
              <w:jc w:val="center"/>
              <w:rPr>
                <w:rFonts w:ascii="仿宋" w:hAnsi="仿宋" w:eastAsia="仿宋" w:cs="仿宋"/>
                <w:sz w:val="24"/>
                <w:szCs w:val="24"/>
              </w:rPr>
            </w:pPr>
            <w:r>
              <w:rPr>
                <w:rFonts w:hint="eastAsia" w:ascii="仿宋" w:hAnsi="仿宋" w:eastAsia="仿宋"/>
                <w:sz w:val="24"/>
                <w:szCs w:val="24"/>
              </w:rPr>
              <w:t>法院云网系统</w:t>
            </w:r>
          </w:p>
        </w:tc>
        <w:tc>
          <w:tcPr>
            <w:tcW w:w="1167" w:type="dxa"/>
            <w:vAlign w:val="center"/>
          </w:tcPr>
          <w:p w14:paraId="2204F9F1">
            <w:pPr>
              <w:jc w:val="center"/>
              <w:rPr>
                <w:rFonts w:ascii="仿宋" w:hAnsi="仿宋" w:eastAsia="仿宋" w:cs="仿宋"/>
                <w:sz w:val="24"/>
                <w:szCs w:val="24"/>
              </w:rPr>
            </w:pPr>
            <w:r>
              <w:rPr>
                <w:rFonts w:hint="eastAsia" w:ascii="仿宋" w:hAnsi="仿宋" w:eastAsia="仿宋"/>
                <w:sz w:val="24"/>
                <w:szCs w:val="24"/>
              </w:rPr>
              <w:t>三级</w:t>
            </w:r>
          </w:p>
        </w:tc>
        <w:tc>
          <w:tcPr>
            <w:tcW w:w="1917" w:type="dxa"/>
            <w:vAlign w:val="center"/>
          </w:tcPr>
          <w:p w14:paraId="18846F55">
            <w:pPr>
              <w:jc w:val="center"/>
              <w:rPr>
                <w:rFonts w:ascii="仿宋" w:hAnsi="仿宋" w:eastAsia="仿宋" w:cs="仿宋"/>
                <w:sz w:val="24"/>
                <w:szCs w:val="24"/>
              </w:rPr>
            </w:pPr>
            <w:r>
              <w:rPr>
                <w:rFonts w:hint="eastAsia" w:ascii="仿宋" w:hAnsi="仿宋" w:eastAsia="仿宋" w:cs="仿宋"/>
                <w:sz w:val="24"/>
                <w:szCs w:val="24"/>
              </w:rPr>
              <w:t>商用密码应用安全性评估服务</w:t>
            </w:r>
          </w:p>
        </w:tc>
        <w:tc>
          <w:tcPr>
            <w:tcW w:w="1656" w:type="dxa"/>
            <w:vAlign w:val="center"/>
          </w:tcPr>
          <w:p w14:paraId="7CAF0A06">
            <w:pPr>
              <w:jc w:val="center"/>
              <w:rPr>
                <w:rFonts w:ascii="仿宋" w:hAnsi="仿宋" w:eastAsia="仿宋" w:cs="仿宋"/>
                <w:sz w:val="24"/>
                <w:szCs w:val="24"/>
              </w:rPr>
            </w:pPr>
            <w:r>
              <w:rPr>
                <w:rFonts w:hint="eastAsia" w:ascii="仿宋" w:hAnsi="仿宋" w:eastAsia="仿宋" w:cs="仿宋"/>
                <w:sz w:val="24"/>
                <w:szCs w:val="24"/>
              </w:rPr>
              <w:t>合同签订后一年内完成</w:t>
            </w:r>
          </w:p>
        </w:tc>
        <w:tc>
          <w:tcPr>
            <w:tcW w:w="1345" w:type="dxa"/>
            <w:vAlign w:val="center"/>
          </w:tcPr>
          <w:p w14:paraId="4D61FA38">
            <w:pPr>
              <w:jc w:val="center"/>
              <w:rPr>
                <w:rFonts w:ascii="仿宋" w:hAnsi="仿宋" w:eastAsia="仿宋" w:cs="仿宋"/>
                <w:sz w:val="24"/>
                <w:szCs w:val="24"/>
              </w:rPr>
            </w:pPr>
            <w:r>
              <w:rPr>
                <w:rFonts w:hint="eastAsia" w:ascii="仿宋" w:hAnsi="仿宋" w:eastAsia="仿宋" w:cs="仿宋"/>
                <w:sz w:val="24"/>
                <w:szCs w:val="24"/>
              </w:rPr>
              <w:t>现场服务+远程服务</w:t>
            </w:r>
          </w:p>
        </w:tc>
      </w:tr>
      <w:tr w14:paraId="2CD9B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vAlign w:val="center"/>
          </w:tcPr>
          <w:p w14:paraId="5485A579">
            <w:pPr>
              <w:jc w:val="center"/>
              <w:rPr>
                <w:rFonts w:ascii="仿宋" w:hAnsi="仿宋" w:eastAsia="仿宋" w:cs="仿宋"/>
                <w:sz w:val="24"/>
                <w:szCs w:val="24"/>
              </w:rPr>
            </w:pPr>
            <w:r>
              <w:rPr>
                <w:rFonts w:hint="eastAsia" w:ascii="仿宋" w:hAnsi="仿宋" w:eastAsia="仿宋"/>
                <w:sz w:val="24"/>
                <w:szCs w:val="24"/>
              </w:rPr>
              <w:t>3</w:t>
            </w:r>
          </w:p>
        </w:tc>
        <w:tc>
          <w:tcPr>
            <w:tcW w:w="2349" w:type="dxa"/>
            <w:vAlign w:val="center"/>
          </w:tcPr>
          <w:p w14:paraId="2BBA0586">
            <w:pPr>
              <w:jc w:val="center"/>
              <w:rPr>
                <w:rFonts w:ascii="仿宋" w:hAnsi="仿宋" w:eastAsia="仿宋" w:cs="仿宋"/>
                <w:sz w:val="24"/>
                <w:szCs w:val="24"/>
              </w:rPr>
            </w:pPr>
            <w:r>
              <w:rPr>
                <w:rFonts w:hint="eastAsia" w:ascii="仿宋" w:hAnsi="仿宋" w:eastAsia="仿宋"/>
                <w:sz w:val="24"/>
                <w:szCs w:val="24"/>
              </w:rPr>
              <w:t>一站式服务系统</w:t>
            </w:r>
          </w:p>
        </w:tc>
        <w:tc>
          <w:tcPr>
            <w:tcW w:w="1167" w:type="dxa"/>
            <w:vAlign w:val="center"/>
          </w:tcPr>
          <w:p w14:paraId="34502880">
            <w:pPr>
              <w:jc w:val="center"/>
              <w:rPr>
                <w:rFonts w:ascii="仿宋" w:hAnsi="仿宋" w:eastAsia="仿宋" w:cs="仿宋"/>
                <w:sz w:val="24"/>
                <w:szCs w:val="24"/>
              </w:rPr>
            </w:pPr>
            <w:r>
              <w:rPr>
                <w:rFonts w:hint="eastAsia" w:ascii="仿宋" w:hAnsi="仿宋" w:eastAsia="仿宋"/>
                <w:sz w:val="24"/>
                <w:szCs w:val="24"/>
              </w:rPr>
              <w:t>三级</w:t>
            </w:r>
          </w:p>
        </w:tc>
        <w:tc>
          <w:tcPr>
            <w:tcW w:w="1917" w:type="dxa"/>
            <w:vAlign w:val="center"/>
          </w:tcPr>
          <w:p w14:paraId="74788E6D">
            <w:pPr>
              <w:jc w:val="center"/>
              <w:rPr>
                <w:rFonts w:ascii="仿宋" w:hAnsi="仿宋" w:eastAsia="仿宋" w:cs="仿宋"/>
                <w:sz w:val="24"/>
                <w:szCs w:val="24"/>
              </w:rPr>
            </w:pPr>
            <w:r>
              <w:rPr>
                <w:rFonts w:hint="eastAsia" w:ascii="仿宋" w:hAnsi="仿宋" w:eastAsia="仿宋" w:cs="仿宋"/>
                <w:sz w:val="24"/>
                <w:szCs w:val="24"/>
              </w:rPr>
              <w:t>商用密码应用安全性评估服务</w:t>
            </w:r>
          </w:p>
        </w:tc>
        <w:tc>
          <w:tcPr>
            <w:tcW w:w="1656" w:type="dxa"/>
            <w:vAlign w:val="center"/>
          </w:tcPr>
          <w:p w14:paraId="03FD08B2">
            <w:pPr>
              <w:jc w:val="center"/>
              <w:rPr>
                <w:rFonts w:ascii="仿宋" w:hAnsi="仿宋" w:eastAsia="仿宋" w:cs="仿宋"/>
                <w:sz w:val="24"/>
                <w:szCs w:val="24"/>
              </w:rPr>
            </w:pPr>
            <w:r>
              <w:rPr>
                <w:rFonts w:hint="eastAsia" w:ascii="仿宋" w:hAnsi="仿宋" w:eastAsia="仿宋" w:cs="仿宋"/>
                <w:sz w:val="24"/>
                <w:szCs w:val="24"/>
              </w:rPr>
              <w:t>合同签订后一年内完成</w:t>
            </w:r>
          </w:p>
        </w:tc>
        <w:tc>
          <w:tcPr>
            <w:tcW w:w="1345" w:type="dxa"/>
            <w:vAlign w:val="center"/>
          </w:tcPr>
          <w:p w14:paraId="36D1F76F">
            <w:pPr>
              <w:jc w:val="center"/>
              <w:rPr>
                <w:rFonts w:ascii="仿宋" w:hAnsi="仿宋" w:eastAsia="仿宋" w:cs="仿宋"/>
                <w:sz w:val="24"/>
                <w:szCs w:val="24"/>
              </w:rPr>
            </w:pPr>
            <w:r>
              <w:rPr>
                <w:rFonts w:hint="eastAsia" w:ascii="仿宋" w:hAnsi="仿宋" w:eastAsia="仿宋" w:cs="仿宋"/>
                <w:sz w:val="24"/>
                <w:szCs w:val="24"/>
              </w:rPr>
              <w:t>现场服务+远程服务</w:t>
            </w:r>
          </w:p>
        </w:tc>
      </w:tr>
      <w:tr w14:paraId="0FE6C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vAlign w:val="center"/>
          </w:tcPr>
          <w:p w14:paraId="00D6933C">
            <w:pPr>
              <w:jc w:val="center"/>
              <w:rPr>
                <w:rFonts w:ascii="仿宋" w:hAnsi="仿宋" w:eastAsia="仿宋" w:cs="仿宋"/>
                <w:sz w:val="24"/>
                <w:szCs w:val="24"/>
              </w:rPr>
            </w:pPr>
            <w:r>
              <w:rPr>
                <w:rFonts w:hint="eastAsia" w:ascii="仿宋" w:hAnsi="仿宋" w:eastAsia="仿宋"/>
                <w:sz w:val="24"/>
                <w:szCs w:val="24"/>
              </w:rPr>
              <w:t>4</w:t>
            </w:r>
          </w:p>
        </w:tc>
        <w:tc>
          <w:tcPr>
            <w:tcW w:w="2349" w:type="dxa"/>
            <w:vAlign w:val="center"/>
          </w:tcPr>
          <w:p w14:paraId="3A39F3EC">
            <w:pPr>
              <w:jc w:val="center"/>
              <w:rPr>
                <w:rFonts w:ascii="仿宋" w:hAnsi="仿宋" w:eastAsia="仿宋" w:cs="仿宋"/>
                <w:sz w:val="24"/>
                <w:szCs w:val="24"/>
              </w:rPr>
            </w:pPr>
            <w:r>
              <w:rPr>
                <w:rFonts w:hint="eastAsia" w:ascii="仿宋" w:hAnsi="仿宋" w:eastAsia="仿宋"/>
                <w:sz w:val="24"/>
                <w:szCs w:val="24"/>
              </w:rPr>
              <w:t>移动在线服务系统</w:t>
            </w:r>
          </w:p>
        </w:tc>
        <w:tc>
          <w:tcPr>
            <w:tcW w:w="1167" w:type="dxa"/>
            <w:vAlign w:val="center"/>
          </w:tcPr>
          <w:p w14:paraId="0743DA3D">
            <w:pPr>
              <w:jc w:val="center"/>
              <w:rPr>
                <w:rFonts w:ascii="仿宋" w:hAnsi="仿宋" w:eastAsia="仿宋" w:cs="仿宋"/>
                <w:sz w:val="24"/>
                <w:szCs w:val="24"/>
              </w:rPr>
            </w:pPr>
            <w:r>
              <w:rPr>
                <w:rFonts w:hint="eastAsia" w:ascii="仿宋" w:hAnsi="仿宋" w:eastAsia="仿宋"/>
                <w:sz w:val="24"/>
                <w:szCs w:val="24"/>
              </w:rPr>
              <w:t>三级</w:t>
            </w:r>
          </w:p>
        </w:tc>
        <w:tc>
          <w:tcPr>
            <w:tcW w:w="1917" w:type="dxa"/>
            <w:vAlign w:val="center"/>
          </w:tcPr>
          <w:p w14:paraId="158826BE">
            <w:pPr>
              <w:jc w:val="center"/>
              <w:rPr>
                <w:rFonts w:ascii="仿宋" w:hAnsi="仿宋" w:eastAsia="仿宋" w:cs="仿宋"/>
                <w:sz w:val="24"/>
                <w:szCs w:val="24"/>
              </w:rPr>
            </w:pPr>
            <w:r>
              <w:rPr>
                <w:rFonts w:hint="eastAsia" w:ascii="仿宋" w:hAnsi="仿宋" w:eastAsia="仿宋" w:cs="仿宋"/>
                <w:sz w:val="24"/>
                <w:szCs w:val="24"/>
              </w:rPr>
              <w:t>商用密码应用安全性评估服务</w:t>
            </w:r>
          </w:p>
        </w:tc>
        <w:tc>
          <w:tcPr>
            <w:tcW w:w="1656" w:type="dxa"/>
            <w:vAlign w:val="center"/>
          </w:tcPr>
          <w:p w14:paraId="71820D8E">
            <w:pPr>
              <w:jc w:val="center"/>
              <w:rPr>
                <w:rFonts w:ascii="仿宋" w:hAnsi="仿宋" w:eastAsia="仿宋" w:cs="仿宋"/>
                <w:sz w:val="24"/>
                <w:szCs w:val="24"/>
              </w:rPr>
            </w:pPr>
            <w:r>
              <w:rPr>
                <w:rFonts w:hint="eastAsia" w:ascii="仿宋" w:hAnsi="仿宋" w:eastAsia="仿宋" w:cs="仿宋"/>
                <w:sz w:val="24"/>
                <w:szCs w:val="24"/>
              </w:rPr>
              <w:t>合同签订后一年内完成</w:t>
            </w:r>
          </w:p>
        </w:tc>
        <w:tc>
          <w:tcPr>
            <w:tcW w:w="1345" w:type="dxa"/>
            <w:vAlign w:val="center"/>
          </w:tcPr>
          <w:p w14:paraId="734A4AA1">
            <w:pPr>
              <w:jc w:val="center"/>
              <w:rPr>
                <w:rFonts w:ascii="仿宋" w:hAnsi="仿宋" w:eastAsia="仿宋" w:cs="仿宋"/>
                <w:sz w:val="24"/>
                <w:szCs w:val="24"/>
              </w:rPr>
            </w:pPr>
            <w:r>
              <w:rPr>
                <w:rFonts w:hint="eastAsia" w:ascii="仿宋" w:hAnsi="仿宋" w:eastAsia="仿宋" w:cs="仿宋"/>
                <w:sz w:val="24"/>
                <w:szCs w:val="24"/>
              </w:rPr>
              <w:t>现场服务+远程服务</w:t>
            </w:r>
          </w:p>
        </w:tc>
      </w:tr>
    </w:tbl>
    <w:p w14:paraId="60133205">
      <w:pPr>
        <w:tabs>
          <w:tab w:val="left" w:pos="900"/>
        </w:tabs>
        <w:autoSpaceDE w:val="0"/>
        <w:autoSpaceDN w:val="0"/>
        <w:spacing w:line="360" w:lineRule="auto"/>
        <w:ind w:firstLine="480" w:firstLineChars="200"/>
        <w:jc w:val="left"/>
        <w:rPr>
          <w:rFonts w:ascii="仿宋" w:hAnsi="仿宋" w:eastAsia="仿宋" w:cs="仿宋"/>
          <w:kern w:val="0"/>
          <w:sz w:val="24"/>
          <w:szCs w:val="24"/>
          <w:lang w:val="ja-JP" w:bidi="ja-JP"/>
        </w:rPr>
      </w:pPr>
      <w:r>
        <w:rPr>
          <w:rFonts w:hint="eastAsia" w:ascii="仿宋" w:hAnsi="仿宋" w:eastAsia="仿宋" w:cs="仿宋"/>
          <w:kern w:val="0"/>
          <w:sz w:val="24"/>
          <w:szCs w:val="24"/>
          <w:lang w:val="ja-JP" w:bidi="ja-JP"/>
        </w:rPr>
        <w:t>对外公开服务系统包含江苏法院网、诉讼服务网、鉴定机构管理平台、中国环境资源审判信息平台、庭审直播系统、书记员招聘系统等子系统，主要是提供对外服务、对外宣传、通知公告的系统。</w:t>
      </w:r>
    </w:p>
    <w:p w14:paraId="38CE301C">
      <w:pPr>
        <w:tabs>
          <w:tab w:val="left" w:pos="900"/>
        </w:tabs>
        <w:autoSpaceDE w:val="0"/>
        <w:autoSpaceDN w:val="0"/>
        <w:spacing w:line="360" w:lineRule="auto"/>
        <w:ind w:firstLine="480" w:firstLineChars="200"/>
        <w:jc w:val="left"/>
        <w:rPr>
          <w:rFonts w:ascii="仿宋" w:hAnsi="仿宋" w:eastAsia="仿宋" w:cs="仿宋"/>
          <w:kern w:val="0"/>
          <w:sz w:val="24"/>
          <w:szCs w:val="24"/>
          <w:lang w:val="ja-JP" w:bidi="ja-JP"/>
        </w:rPr>
      </w:pPr>
      <w:r>
        <w:rPr>
          <w:rFonts w:hint="eastAsia" w:ascii="仿宋" w:hAnsi="仿宋" w:eastAsia="仿宋" w:cs="仿宋"/>
          <w:kern w:val="0"/>
          <w:sz w:val="24"/>
          <w:szCs w:val="24"/>
          <w:lang w:val="ja-JP" w:bidi="ja-JP"/>
        </w:rPr>
        <w:t>法院云网系统由法院内外网、法院云平台及配套的相关软硬件等江苏法院各类基础设施共同组成。内外网主要包括法院专网、政务网、政法网、办公互联网，法院云平台主要包括基础云平台软件、大数据平台软件、应用支撑平台软件和安全隔离交换平台软件，基础设施主要包括防火墙、态势感知、堡垒机、入侵防御、终端准入、数据库审计、数据库防水坝、安全设备基线检查、诉讼服务自助终端、智能材料收转管理柜、瑞星防毒墙等设备；法院专网服务器部署在高院办公大楼机房内，通过专线与云平台互联。公有云服务主要为江苏法院互联网应用提供计算资源、数据库资源、存储资源、网络安全防护能力；主要包括全省诉讼服务、电子送达、庭审直播等业务所需互联网计算资源、存储及安全防护等服务。</w:t>
      </w:r>
    </w:p>
    <w:p w14:paraId="391FB699">
      <w:pPr>
        <w:tabs>
          <w:tab w:val="left" w:pos="900"/>
        </w:tabs>
        <w:autoSpaceDE w:val="0"/>
        <w:autoSpaceDN w:val="0"/>
        <w:spacing w:line="360" w:lineRule="auto"/>
        <w:ind w:firstLine="480" w:firstLineChars="200"/>
        <w:jc w:val="left"/>
        <w:rPr>
          <w:rFonts w:ascii="仿宋" w:hAnsi="仿宋" w:eastAsia="仿宋" w:cs="仿宋"/>
          <w:kern w:val="0"/>
          <w:sz w:val="24"/>
          <w:szCs w:val="24"/>
          <w:lang w:val="ja-JP" w:bidi="ja-JP"/>
        </w:rPr>
      </w:pPr>
      <w:r>
        <w:rPr>
          <w:rFonts w:hint="eastAsia" w:ascii="仿宋" w:hAnsi="仿宋" w:eastAsia="仿宋" w:cs="仿宋"/>
          <w:kern w:val="0"/>
          <w:sz w:val="24"/>
          <w:szCs w:val="24"/>
          <w:lang w:val="ja-JP" w:bidi="ja-JP"/>
        </w:rPr>
        <w:t>一站式服务系统主要包含法综系统、执行系统、司法大数据系统、人事系统、司法行政综合管理系统、电子公文系统、智慧警务系统、中国环境资源审判系统、内网网站系统、老干部工作平台、在线学习平台、可视化运维平台、科技法庭、江苏法院音视频集成等。</w:t>
      </w:r>
    </w:p>
    <w:p w14:paraId="66FC86CE">
      <w:pPr>
        <w:tabs>
          <w:tab w:val="left" w:pos="900"/>
        </w:tabs>
        <w:autoSpaceDE w:val="0"/>
        <w:autoSpaceDN w:val="0"/>
        <w:spacing w:line="360" w:lineRule="auto"/>
        <w:ind w:firstLine="480" w:firstLineChars="200"/>
        <w:jc w:val="left"/>
        <w:rPr>
          <w:lang w:val="ja-JP"/>
        </w:rPr>
      </w:pPr>
      <w:r>
        <w:rPr>
          <w:rFonts w:hint="eastAsia" w:ascii="仿宋" w:hAnsi="仿宋" w:eastAsia="仿宋" w:cs="仿宋"/>
          <w:kern w:val="0"/>
          <w:sz w:val="24"/>
          <w:szCs w:val="24"/>
          <w:lang w:val="ja-JP" w:bidi="ja-JP"/>
        </w:rPr>
        <w:t>移动在线服务系统主要是通过手机端给公众和单位内部人员提供各项服务。主要功能包含子系统：江苏微解纷、江苏微保全、微法院公众端、微法院干警端、江苏微执行、政务微信、互联网庭审、智慧庭审系统、人民法院在线服务江苏、法务云盘、易审、移动执行、智能法云、人事（含离退休）信息查询等。</w:t>
      </w:r>
    </w:p>
    <w:p w14:paraId="684D53B7">
      <w:pPr>
        <w:tabs>
          <w:tab w:val="left" w:pos="900"/>
        </w:tabs>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（二）密码技术应用测评</w:t>
      </w:r>
    </w:p>
    <w:p w14:paraId="00519F72">
      <w:pPr>
        <w:tabs>
          <w:tab w:val="left" w:pos="900"/>
        </w:tabs>
        <w:autoSpaceDE w:val="0"/>
        <w:autoSpaceDN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主要包括物理安全密码测评、网络安全密码测评、主机安全密码测评、应用安全密码测评、数据安全及备份恢复密码测评。测评验证不同安全等级信息系统的商用密码应用是否达到具有相应安全等级的安全保护能力，是否满足相应安全等级的保护要求。</w:t>
      </w:r>
    </w:p>
    <w:p w14:paraId="3BB661C9">
      <w:pPr>
        <w:tabs>
          <w:tab w:val="left" w:pos="900"/>
        </w:tabs>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（三）密钥管理测评</w:t>
      </w:r>
    </w:p>
    <w:p w14:paraId="2593866E">
      <w:pPr>
        <w:tabs>
          <w:tab w:val="left" w:pos="900"/>
        </w:tabs>
        <w:autoSpaceDE w:val="0"/>
        <w:autoSpaceDN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检测信息系统密钥管理各环节，包括对密钥的生成、存储、分发、导入、导出、使用、备份、恢复、归档与销毁等环节进行管理和策略制定的全过程是否符合要求。</w:t>
      </w:r>
    </w:p>
    <w:p w14:paraId="6B359219">
      <w:pPr>
        <w:tabs>
          <w:tab w:val="left" w:pos="900"/>
        </w:tabs>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（四）安全管理测评</w:t>
      </w:r>
    </w:p>
    <w:p w14:paraId="7B52D3C2">
      <w:pPr>
        <w:tabs>
          <w:tab w:val="left" w:pos="900"/>
        </w:tabs>
        <w:autoSpaceDE w:val="0"/>
        <w:autoSpaceDN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对制度、人员、实施和应急等四个方面安全管理的测评，并指导采购人完善商用密码应用安全性管理制度以及和商用密码相关的系统运维管理制度。</w:t>
      </w:r>
    </w:p>
    <w:p w14:paraId="1B8FFA82">
      <w:pPr>
        <w:tabs>
          <w:tab w:val="left" w:pos="900"/>
        </w:tabs>
        <w:autoSpaceDE w:val="0"/>
        <w:autoSpaceDN w:val="0"/>
        <w:spacing w:line="360" w:lineRule="auto"/>
        <w:ind w:firstLine="480" w:firstLineChars="200"/>
        <w:jc w:val="left"/>
        <w:rPr>
          <w:rFonts w:ascii="仿宋" w:hAnsi="仿宋" w:eastAsia="仿宋" w:cs="仿宋"/>
          <w:kern w:val="0"/>
          <w:sz w:val="24"/>
          <w:szCs w:val="24"/>
          <w:lang w:val="ja-JP" w:bidi="ja-JP"/>
        </w:rPr>
      </w:pPr>
      <w:r>
        <w:rPr>
          <w:rFonts w:hint="eastAsia" w:ascii="仿宋" w:hAnsi="仿宋" w:eastAsia="仿宋" w:cs="仿宋"/>
          <w:kern w:val="0"/>
          <w:sz w:val="24"/>
          <w:szCs w:val="24"/>
          <w:lang w:val="ja-JP" w:eastAsia="ja-JP" w:bidi="ja-JP"/>
        </w:rPr>
        <w:t>（</w:t>
      </w:r>
      <w:r>
        <w:rPr>
          <w:rFonts w:hint="eastAsia" w:ascii="仿宋" w:hAnsi="仿宋" w:eastAsia="仿宋" w:cs="仿宋"/>
          <w:kern w:val="0"/>
          <w:sz w:val="24"/>
          <w:szCs w:val="24"/>
          <w:lang w:val="ja-JP" w:bidi="ja-JP"/>
        </w:rPr>
        <w:t>五</w:t>
      </w:r>
      <w:r>
        <w:rPr>
          <w:rFonts w:hint="eastAsia" w:ascii="仿宋" w:hAnsi="仿宋" w:eastAsia="仿宋" w:cs="仿宋"/>
          <w:kern w:val="0"/>
          <w:sz w:val="24"/>
          <w:szCs w:val="24"/>
          <w:lang w:val="ja-JP" w:eastAsia="ja-JP" w:bidi="ja-JP"/>
        </w:rPr>
        <w:t>）</w:t>
      </w:r>
      <w:r>
        <w:rPr>
          <w:rFonts w:hint="eastAsia" w:ascii="仿宋" w:hAnsi="仿宋" w:eastAsia="仿宋" w:cs="仿宋"/>
          <w:kern w:val="0"/>
          <w:sz w:val="24"/>
          <w:szCs w:val="24"/>
          <w:lang w:val="ja-JP" w:bidi="ja-JP"/>
        </w:rPr>
        <w:t>数据安全风险评估</w:t>
      </w:r>
    </w:p>
    <w:p w14:paraId="20505D8B">
      <w:pPr>
        <w:tabs>
          <w:tab w:val="left" w:pos="900"/>
        </w:tabs>
        <w:autoSpaceDE w:val="0"/>
        <w:autoSpaceDN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对法院系统进行数据安全风险评估，并提供对应测评报告。</w:t>
      </w:r>
    </w:p>
    <w:p w14:paraId="63685D81">
      <w:pPr>
        <w:tabs>
          <w:tab w:val="left" w:pos="900"/>
        </w:tabs>
        <w:autoSpaceDE w:val="0"/>
        <w:autoSpaceDN w:val="0"/>
        <w:spacing w:line="360" w:lineRule="auto"/>
        <w:ind w:firstLine="480" w:firstLineChars="200"/>
        <w:jc w:val="left"/>
        <w:rPr>
          <w:rFonts w:ascii="仿宋" w:hAnsi="仿宋" w:eastAsia="仿宋" w:cs="仿宋"/>
          <w:kern w:val="0"/>
          <w:sz w:val="24"/>
          <w:szCs w:val="24"/>
          <w:lang w:val="ja-JP" w:eastAsia="ja-JP" w:bidi="ja-JP"/>
        </w:rPr>
      </w:pPr>
      <w:r>
        <w:rPr>
          <w:rFonts w:hint="eastAsia" w:ascii="仿宋" w:hAnsi="仿宋" w:eastAsia="仿宋" w:cs="仿宋"/>
          <w:kern w:val="0"/>
          <w:sz w:val="24"/>
          <w:szCs w:val="24"/>
          <w:lang w:val="ja-JP" w:eastAsia="ja-JP" w:bidi="ja-JP"/>
        </w:rPr>
        <w:t>（</w:t>
      </w:r>
      <w:r>
        <w:rPr>
          <w:rFonts w:hint="eastAsia" w:ascii="仿宋" w:hAnsi="仿宋" w:eastAsia="仿宋" w:cs="仿宋"/>
          <w:kern w:val="0"/>
          <w:sz w:val="24"/>
          <w:szCs w:val="24"/>
          <w:lang w:val="ja-JP" w:bidi="ja-JP"/>
        </w:rPr>
        <w:t>六</w:t>
      </w:r>
      <w:r>
        <w:rPr>
          <w:rFonts w:hint="eastAsia" w:ascii="仿宋" w:hAnsi="仿宋" w:eastAsia="仿宋" w:cs="仿宋"/>
          <w:kern w:val="0"/>
          <w:sz w:val="24"/>
          <w:szCs w:val="24"/>
          <w:lang w:val="ja-JP" w:eastAsia="ja-JP" w:bidi="ja-JP"/>
        </w:rPr>
        <w:t>）形成密码应用安全性评估相关报告</w:t>
      </w:r>
    </w:p>
    <w:p w14:paraId="1341747D">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针对每个被评估系统编制密码应用安全性评估报告，报告按照国家密码管理局要求包含的内容编制或参考模板编制。协助被评估单位认清风险，查找漏洞，找出差距，提出有针对性地加强完善密码安全管理和防护建议，指导并督促采购人现场信息系统供应商按照要求改进进行整改落实。</w:t>
      </w:r>
    </w:p>
    <w:p w14:paraId="31F5A43E">
      <w:pPr>
        <w:pStyle w:val="30"/>
        <w:numPr>
          <w:ilvl w:val="0"/>
          <w:numId w:val="0"/>
        </w:numPr>
        <w:tabs>
          <w:tab w:val="clear" w:pos="720"/>
        </w:tabs>
        <w:spacing w:line="360" w:lineRule="auto"/>
        <w:rPr>
          <w:rFonts w:ascii="Times New Roman" w:hAnsi="Times New Roman" w:eastAsia="仿宋"/>
        </w:rPr>
      </w:pPr>
      <w:r>
        <w:rPr>
          <w:rFonts w:hint="eastAsia" w:ascii="Times New Roman" w:hAnsi="Times New Roman" w:eastAsia="仿宋"/>
        </w:rPr>
        <w:t>三、付款方式</w:t>
      </w:r>
    </w:p>
    <w:p w14:paraId="21911494">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ja-JP" w:eastAsia="ja-JP"/>
        </w:rPr>
        <w:t>签订合同后支付合同总价款的</w:t>
      </w:r>
      <w:r>
        <w:rPr>
          <w:rFonts w:hint="eastAsia" w:ascii="仿宋" w:hAnsi="仿宋" w:eastAsia="仿宋" w:cs="仿宋"/>
          <w:sz w:val="24"/>
          <w:szCs w:val="24"/>
          <w:lang w:val="ja-JP"/>
        </w:rPr>
        <w:t>5</w:t>
      </w:r>
      <w:r>
        <w:rPr>
          <w:rFonts w:hint="eastAsia" w:ascii="仿宋" w:hAnsi="仿宋" w:eastAsia="仿宋" w:cs="仿宋"/>
          <w:sz w:val="24"/>
          <w:szCs w:val="24"/>
          <w:lang w:val="ja-JP" w:eastAsia="ja-JP"/>
        </w:rPr>
        <w:t>0%。</w:t>
      </w:r>
    </w:p>
    <w:p w14:paraId="334F8D5D">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2、供应商按照评估服务要求，提交《密码应用安全性评估报告》，经</w:t>
      </w:r>
      <w:r>
        <w:rPr>
          <w:rFonts w:hint="eastAsia" w:ascii="仿宋" w:hAnsi="仿宋" w:eastAsia="仿宋" w:cs="仿宋"/>
          <w:sz w:val="24"/>
          <w:szCs w:val="24"/>
          <w:lang w:val="ja-JP"/>
        </w:rPr>
        <w:t>采购人</w:t>
      </w:r>
      <w:r>
        <w:rPr>
          <w:rFonts w:hint="eastAsia" w:ascii="仿宋" w:hAnsi="仿宋" w:eastAsia="仿宋" w:cs="仿宋"/>
          <w:sz w:val="24"/>
          <w:szCs w:val="24"/>
        </w:rPr>
        <w:t>确认无服务质量问题，支付合同总价款的40%。</w:t>
      </w:r>
    </w:p>
    <w:p w14:paraId="0AD1F060">
      <w:pPr>
        <w:pStyle w:val="2"/>
        <w:spacing w:line="360" w:lineRule="auto"/>
        <w:rPr>
          <w:rFonts w:eastAsia="仿宋"/>
          <w:lang w:val="en-US"/>
        </w:rPr>
      </w:pPr>
      <w:r>
        <w:rPr>
          <w:rFonts w:hint="eastAsia" w:ascii="仿宋" w:hAnsi="仿宋" w:eastAsia="仿宋" w:cs="仿宋"/>
          <w:sz w:val="24"/>
          <w:szCs w:val="24"/>
          <w:lang w:val="en-US"/>
        </w:rPr>
        <w:t xml:space="preserve">    3、剩余尾款在项目服务期满后支付。</w:t>
      </w:r>
    </w:p>
    <w:p w14:paraId="126541FC">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4、付款之前需收到乙方开具的合法有效的相应金额发票。</w:t>
      </w:r>
    </w:p>
    <w:p w14:paraId="39CC2022">
      <w:pPr>
        <w:pStyle w:val="30"/>
        <w:numPr>
          <w:ilvl w:val="0"/>
          <w:numId w:val="0"/>
        </w:numPr>
        <w:tabs>
          <w:tab w:val="clear" w:pos="720"/>
        </w:tabs>
        <w:spacing w:line="360" w:lineRule="auto"/>
        <w:rPr>
          <w:rFonts w:ascii="Times New Roman" w:hAnsi="Times New Roman" w:eastAsia="仿宋"/>
        </w:rPr>
      </w:pPr>
      <w:r>
        <w:rPr>
          <w:rFonts w:hint="eastAsia" w:ascii="Times New Roman" w:hAnsi="Times New Roman" w:eastAsia="仿宋"/>
        </w:rPr>
        <w:t>四、其他要求</w:t>
      </w:r>
    </w:p>
    <w:p w14:paraId="387E858F">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1、服务时间：自合同签订起1年内完成全部服务内容。</w:t>
      </w:r>
    </w:p>
    <w:p w14:paraId="0BF54748">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2、交付物：《商用密码应用安全性评估报告》（1份/每个系统）、《数据安全风险评估报告》。</w:t>
      </w:r>
    </w:p>
    <w:p w14:paraId="782E45F8">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3、售后服务要求：</w:t>
      </w:r>
    </w:p>
    <w:p w14:paraId="2F972CE6">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服务期内，供应商应根据被评估单位商用密码应用需求，提供相关密码应用技术咨询支持服务。</w:t>
      </w:r>
    </w:p>
    <w:p w14:paraId="6C47A0E5">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4、培训要求：</w:t>
      </w:r>
    </w:p>
    <w:p w14:paraId="09814B54">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从国家政策法规、国家密码标准、密码行业标准、密码要求规范等方面对被评估单位进行培训，重点包括密码应用要求、密码测评要求等，明确密码应用安全性评估的目的和意义。</w:t>
      </w:r>
    </w:p>
    <w:p w14:paraId="58B83B5F">
      <w:pPr>
        <w:numPr>
          <w:ilvl w:val="0"/>
          <w:numId w:val="10"/>
        </w:num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人员要求：</w:t>
      </w:r>
    </w:p>
    <w:p w14:paraId="1BF66638">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项目负责人及测评技术人员应为本单位正式在职员工且均通过国家密码管理局组织的商用密码应用安全性评估人员测评能力考核，测评技术人员不得少于4人。供应商需提供测评能力考核成绩单并加盖公章。</w:t>
      </w:r>
    </w:p>
    <w:p w14:paraId="54D16EC8">
      <w:pPr>
        <w:numPr>
          <w:ilvl w:val="0"/>
          <w:numId w:val="10"/>
        </w:num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服务保障和自罚承诺：</w:t>
      </w:r>
    </w:p>
    <w:p w14:paraId="696EDD9C">
      <w:pPr>
        <w:pStyle w:val="9"/>
        <w:spacing w:line="360" w:lineRule="auto"/>
        <w:ind w:left="0" w:leftChars="0" w:firstLine="420" w:firstLineChars="175"/>
        <w:rPr>
          <w:rFonts w:ascii="仿宋" w:hAnsi="仿宋" w:eastAsia="仿宋" w:cs="仿宋"/>
          <w:sz w:val="24"/>
          <w:szCs w:val="24"/>
        </w:rPr>
      </w:pPr>
      <w:r>
        <w:rPr>
          <w:rFonts w:hint="eastAsia" w:ascii="仿宋" w:hAnsi="仿宋" w:eastAsia="仿宋" w:cs="仿宋"/>
          <w:sz w:val="24"/>
          <w:szCs w:val="24"/>
        </w:rPr>
        <w:t>供应商应对照磋商文件要求，书面说明已对采购人的需求作出了实质性的响应，或申明与需求的偏差和例外。</w:t>
      </w:r>
    </w:p>
    <w:p w14:paraId="411D285E">
      <w:pPr>
        <w:pStyle w:val="9"/>
        <w:numPr>
          <w:ilvl w:val="0"/>
          <w:numId w:val="11"/>
        </w:numPr>
        <w:spacing w:line="360" w:lineRule="auto"/>
        <w:ind w:leftChars="0" w:firstLine="480"/>
        <w:rPr>
          <w:rFonts w:ascii="仿宋" w:hAnsi="仿宋" w:eastAsia="仿宋" w:cs="仿宋"/>
          <w:sz w:val="24"/>
          <w:szCs w:val="24"/>
        </w:rPr>
      </w:pPr>
      <w:r>
        <w:rPr>
          <w:rFonts w:hint="eastAsia" w:ascii="仿宋" w:hAnsi="仿宋" w:eastAsia="仿宋" w:cs="仿宋"/>
          <w:sz w:val="24"/>
          <w:szCs w:val="24"/>
        </w:rPr>
        <w:t>如果发生因供应商安全措施不力造成的事故责任、或者其他工作失误，由此所产生的一切责任由供应商承担。</w:t>
      </w:r>
    </w:p>
    <w:p w14:paraId="3BA0625C">
      <w:pPr>
        <w:pStyle w:val="9"/>
        <w:numPr>
          <w:ilvl w:val="0"/>
          <w:numId w:val="11"/>
        </w:numPr>
        <w:spacing w:line="360" w:lineRule="auto"/>
        <w:ind w:leftChars="0" w:firstLine="480"/>
        <w:rPr>
          <w:rFonts w:ascii="仿宋" w:hAnsi="仿宋" w:eastAsia="仿宋" w:cs="仿宋"/>
          <w:sz w:val="24"/>
          <w:szCs w:val="24"/>
        </w:rPr>
      </w:pPr>
      <w:r>
        <w:rPr>
          <w:rFonts w:hint="eastAsia" w:ascii="仿宋" w:hAnsi="仿宋" w:eastAsia="仿宋" w:cs="仿宋"/>
          <w:sz w:val="24"/>
          <w:szCs w:val="24"/>
        </w:rPr>
        <w:t>如因供应商投入人员过少原因，造成无法在承诺工期内完成服务，由此产生的一切责任由供应商承担。</w:t>
      </w:r>
    </w:p>
    <w:p w14:paraId="061806BC">
      <w:pPr>
        <w:numPr>
          <w:ilvl w:val="0"/>
          <w:numId w:val="10"/>
        </w:num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报价说明：</w:t>
      </w:r>
    </w:p>
    <w:p w14:paraId="05E9A52F">
      <w:pPr>
        <w:pStyle w:val="9"/>
        <w:spacing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一）报价应包含与本次采购项目有关的所有费用。包含但不限于人员、设备、安装调试、验收、售后服务、伴随配套服务等所有含税费用。同时，还应包含支付给员工的工资和国家强制缴纳的各种社会保障资金，以及供应商认为需要的其他费用等。</w:t>
      </w:r>
    </w:p>
    <w:p w14:paraId="57BDFE88">
      <w:pPr>
        <w:pStyle w:val="9"/>
        <w:spacing w:line="360" w:lineRule="auto"/>
        <w:ind w:left="0" w:leftChars="0" w:firstLine="480" w:firstLineChars="200"/>
        <w:rPr>
          <w:rFonts w:ascii="仿宋" w:hAnsi="仿宋" w:eastAsia="仿宋" w:cs="仿宋"/>
          <w:sz w:val="24"/>
          <w:szCs w:val="24"/>
        </w:rPr>
      </w:pPr>
      <w:r>
        <w:rPr>
          <w:rFonts w:hint="eastAsia" w:ascii="仿宋" w:hAnsi="仿宋" w:eastAsia="仿宋" w:cs="仿宋"/>
          <w:sz w:val="24"/>
          <w:szCs w:val="24"/>
        </w:rPr>
        <w:t>（二）供应商的任何错漏、优惠、竞争性报价不得作为减轻责任、减少服务、增加收费、降低服务质量的理由。</w:t>
      </w:r>
    </w:p>
    <w:p w14:paraId="4B2D9FC4">
      <w:pPr>
        <w:snapToGrid w:val="0"/>
        <w:spacing w:line="400" w:lineRule="exact"/>
        <w:ind w:firstLine="480" w:firstLineChars="200"/>
        <w:rPr>
          <w:rFonts w:ascii="仿宋" w:hAnsi="仿宋" w:eastAsia="仿宋" w:cs="仿宋"/>
          <w:b/>
          <w:sz w:val="28"/>
          <w:szCs w:val="28"/>
        </w:rPr>
      </w:pPr>
      <w:r>
        <w:rPr>
          <w:rFonts w:hint="eastAsia" w:ascii="仿宋" w:hAnsi="仿宋" w:eastAsia="仿宋" w:cs="仿宋"/>
          <w:sz w:val="24"/>
          <w:szCs w:val="24"/>
        </w:rPr>
        <w:t>（三）供应商报价除包含采购文件中列明的项目外还应包括保障服务正常运行应当具有的物资和服务，对服务正常运行应当具有的物资和服务理解不一致的以采购人理解为准。</w:t>
      </w:r>
    </w:p>
    <w:bookmarkEnd w:id="158"/>
    <w:bookmarkEnd w:id="159"/>
    <w:bookmarkEnd w:id="160"/>
    <w:bookmarkEnd w:id="161"/>
    <w:bookmarkEnd w:id="162"/>
    <w:bookmarkEnd w:id="163"/>
    <w:bookmarkEnd w:id="164"/>
    <w:bookmarkEnd w:id="165"/>
    <w:p w14:paraId="45E2ACCA">
      <w:pPr>
        <w:pStyle w:val="29"/>
        <w:pageBreakBefore/>
        <w:spacing w:after="312" w:line="360" w:lineRule="auto"/>
        <w:rPr>
          <w:rFonts w:ascii="仿宋" w:hAnsi="仿宋" w:eastAsia="仿宋" w:cs="仿宋"/>
          <w:color w:val="000000"/>
          <w:sz w:val="40"/>
        </w:rPr>
      </w:pPr>
      <w:bookmarkStart w:id="166" w:name="_Toc26678"/>
      <w:bookmarkStart w:id="167" w:name="_Toc8196"/>
      <w:bookmarkStart w:id="168" w:name="_Toc21753"/>
      <w:bookmarkStart w:id="169" w:name="_Toc25170483"/>
      <w:bookmarkStart w:id="170" w:name="_Toc5010"/>
      <w:bookmarkStart w:id="171" w:name="_Toc9276"/>
      <w:bookmarkStart w:id="172" w:name="_Toc7651"/>
      <w:r>
        <w:rPr>
          <w:rFonts w:hint="eastAsia" w:ascii="仿宋" w:hAnsi="仿宋" w:eastAsia="仿宋" w:cs="仿宋"/>
          <w:color w:val="000000"/>
          <w:sz w:val="40"/>
        </w:rPr>
        <w:t>第五章  评审方法与评审标准</w:t>
      </w:r>
      <w:bookmarkEnd w:id="135"/>
      <w:bookmarkEnd w:id="136"/>
      <w:bookmarkEnd w:id="166"/>
      <w:bookmarkEnd w:id="167"/>
      <w:bookmarkEnd w:id="168"/>
      <w:bookmarkEnd w:id="169"/>
      <w:bookmarkEnd w:id="170"/>
      <w:bookmarkEnd w:id="171"/>
      <w:bookmarkEnd w:id="172"/>
    </w:p>
    <w:p w14:paraId="4F65B6A2">
      <w:pPr>
        <w:pStyle w:val="30"/>
        <w:numPr>
          <w:ilvl w:val="255"/>
          <w:numId w:val="0"/>
        </w:numPr>
        <w:spacing w:line="360" w:lineRule="auto"/>
        <w:rPr>
          <w:rFonts w:ascii="仿宋" w:hAnsi="仿宋" w:eastAsia="仿宋" w:cs="仿宋"/>
          <w:snapToGrid w:val="0"/>
          <w:color w:val="000000"/>
          <w:kern w:val="0"/>
        </w:rPr>
      </w:pPr>
      <w:bookmarkStart w:id="173" w:name="_Toc23395"/>
      <w:bookmarkStart w:id="174" w:name="_Toc13849"/>
      <w:bookmarkStart w:id="175" w:name="_Toc18737"/>
      <w:bookmarkStart w:id="176" w:name="_Toc12716_WPSOffice_Level2"/>
      <w:bookmarkStart w:id="177" w:name="_Toc30940"/>
      <w:bookmarkStart w:id="178" w:name="_Toc24009"/>
      <w:bookmarkStart w:id="179" w:name="_Toc5350"/>
      <w:bookmarkStart w:id="180" w:name="_Toc11814"/>
      <w:bookmarkStart w:id="181" w:name="_Toc2852"/>
      <w:bookmarkStart w:id="182" w:name="_Toc518"/>
      <w:bookmarkStart w:id="183" w:name="_Toc30519"/>
      <w:bookmarkStart w:id="184" w:name="_Toc32698"/>
      <w:bookmarkStart w:id="185" w:name="_Toc3128"/>
      <w:bookmarkStart w:id="186" w:name="_Toc11610"/>
      <w:bookmarkStart w:id="187" w:name="_Toc27586"/>
      <w:bookmarkStart w:id="188" w:name="_Toc28964"/>
      <w:bookmarkStart w:id="189" w:name="_Toc273"/>
      <w:bookmarkStart w:id="190" w:name="_Toc8457"/>
      <w:bookmarkStart w:id="191" w:name="_Toc324237157"/>
      <w:r>
        <w:rPr>
          <w:rFonts w:hint="eastAsia" w:ascii="仿宋" w:hAnsi="仿宋" w:eastAsia="仿宋" w:cs="仿宋"/>
          <w:snapToGrid w:val="0"/>
          <w:color w:val="000000"/>
          <w:kern w:val="0"/>
        </w:rPr>
        <w:t>一、评审方法与评审原则</w:t>
      </w:r>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p>
    <w:p w14:paraId="5B4543BB">
      <w:pPr>
        <w:pStyle w:val="19"/>
        <w:spacing w:line="360" w:lineRule="auto"/>
        <w:ind w:firstLine="480"/>
        <w:rPr>
          <w:rFonts w:ascii="仿宋" w:hAnsi="仿宋" w:eastAsia="仿宋" w:cs="仿宋"/>
          <w:color w:val="000000"/>
        </w:rPr>
      </w:pPr>
      <w:bookmarkStart w:id="192" w:name="_Toc28718"/>
      <w:bookmarkStart w:id="193" w:name="_Toc7630"/>
      <w:bookmarkStart w:id="194" w:name="_Toc10987"/>
      <w:bookmarkStart w:id="195" w:name="_Toc21264"/>
      <w:bookmarkStart w:id="196" w:name="_Toc10020_WPSOffice_Level2"/>
      <w:bookmarkStart w:id="197" w:name="_Toc12196"/>
      <w:bookmarkStart w:id="198" w:name="_Toc22546"/>
      <w:bookmarkStart w:id="199" w:name="_Toc24013"/>
      <w:bookmarkStart w:id="200" w:name="_Toc1171"/>
      <w:bookmarkStart w:id="201" w:name="_Toc23769"/>
      <w:bookmarkStart w:id="202" w:name="_Toc18177"/>
      <w:bookmarkStart w:id="203" w:name="_Toc27122"/>
      <w:bookmarkStart w:id="204" w:name="_Toc26332"/>
      <w:bookmarkStart w:id="205" w:name="_Toc2924"/>
      <w:r>
        <w:rPr>
          <w:rFonts w:hint="eastAsia" w:ascii="仿宋" w:hAnsi="仿宋" w:eastAsia="仿宋" w:cs="仿宋"/>
          <w:color w:val="000000" w:themeColor="text1"/>
          <w:sz w:val="24"/>
          <w:szCs w:val="24"/>
          <w:lang w:val="zh-CN"/>
          <w14:textFill>
            <w14:solidFill>
              <w14:schemeClr w14:val="tx1"/>
            </w14:solidFill>
          </w14:textFill>
        </w:rPr>
        <w:t>磋商小组将对确定为实质性响应采购文件要求的响应文件进行评价和比较，评审采用综合评分法，评审结果按评审后得分由高到低顺序排列。得分相同的，按磋商</w:t>
      </w:r>
      <w:r>
        <w:rPr>
          <w:rFonts w:hint="eastAsia" w:ascii="仿宋" w:hAnsi="仿宋" w:eastAsia="仿宋" w:cs="仿宋"/>
          <w:color w:val="000000" w:themeColor="text1"/>
          <w:sz w:val="24"/>
          <w:szCs w:val="24"/>
          <w14:textFill>
            <w14:solidFill>
              <w14:schemeClr w14:val="tx1"/>
            </w14:solidFill>
          </w14:textFill>
        </w:rPr>
        <w:t>最终</w:t>
      </w:r>
      <w:r>
        <w:rPr>
          <w:rFonts w:hint="eastAsia" w:ascii="仿宋" w:hAnsi="仿宋" w:eastAsia="仿宋" w:cs="仿宋"/>
          <w:color w:val="000000" w:themeColor="text1"/>
          <w:sz w:val="24"/>
          <w:szCs w:val="24"/>
          <w:lang w:val="zh-CN"/>
          <w14:textFill>
            <w14:solidFill>
              <w14:schemeClr w14:val="tx1"/>
            </w14:solidFill>
          </w14:textFill>
        </w:rPr>
        <w:t>报价由低到高顺序排列。得分且磋商</w:t>
      </w:r>
      <w:r>
        <w:rPr>
          <w:rFonts w:hint="eastAsia" w:ascii="仿宋" w:hAnsi="仿宋" w:eastAsia="仿宋" w:cs="仿宋"/>
          <w:color w:val="000000" w:themeColor="text1"/>
          <w:sz w:val="24"/>
          <w:szCs w:val="24"/>
          <w14:textFill>
            <w14:solidFill>
              <w14:schemeClr w14:val="tx1"/>
            </w14:solidFill>
          </w14:textFill>
        </w:rPr>
        <w:t>最终</w:t>
      </w:r>
      <w:r>
        <w:rPr>
          <w:rFonts w:hint="eastAsia" w:ascii="仿宋" w:hAnsi="仿宋" w:eastAsia="仿宋" w:cs="仿宋"/>
          <w:color w:val="000000" w:themeColor="text1"/>
          <w:sz w:val="24"/>
          <w:szCs w:val="24"/>
          <w:lang w:val="zh-CN"/>
          <w14:textFill>
            <w14:solidFill>
              <w14:schemeClr w14:val="tx1"/>
            </w14:solidFill>
          </w14:textFill>
        </w:rPr>
        <w:t>报价</w:t>
      </w:r>
      <w:r>
        <w:rPr>
          <w:rFonts w:hint="eastAsia" w:ascii="仿宋" w:hAnsi="仿宋" w:eastAsia="仿宋" w:cs="仿宋"/>
          <w:color w:val="000000" w:themeColor="text1"/>
          <w:sz w:val="24"/>
          <w:szCs w:val="24"/>
          <w14:textFill>
            <w14:solidFill>
              <w14:schemeClr w14:val="tx1"/>
            </w14:solidFill>
          </w14:textFill>
        </w:rPr>
        <w:t>均</w:t>
      </w:r>
      <w:r>
        <w:rPr>
          <w:rFonts w:hint="eastAsia" w:ascii="仿宋" w:hAnsi="仿宋" w:eastAsia="仿宋" w:cs="仿宋"/>
          <w:color w:val="000000" w:themeColor="text1"/>
          <w:sz w:val="24"/>
          <w:szCs w:val="24"/>
          <w:lang w:val="zh-CN"/>
          <w14:textFill>
            <w14:solidFill>
              <w14:schemeClr w14:val="tx1"/>
            </w14:solidFill>
          </w14:textFill>
        </w:rPr>
        <w:t>相同的</w:t>
      </w:r>
      <w:r>
        <w:rPr>
          <w:rFonts w:hint="eastAsia" w:ascii="仿宋" w:hAnsi="仿宋" w:eastAsia="仿宋" w:cs="仿宋"/>
          <w:color w:val="000000" w:themeColor="text1"/>
          <w:sz w:val="24"/>
          <w:szCs w:val="24"/>
          <w14:textFill>
            <w14:solidFill>
              <w14:schemeClr w14:val="tx1"/>
            </w14:solidFill>
          </w14:textFill>
        </w:rPr>
        <w:t>按服务方案分由高到低顺序排列</w:t>
      </w:r>
      <w:r>
        <w:rPr>
          <w:rFonts w:hint="eastAsia" w:ascii="仿宋" w:hAnsi="仿宋" w:eastAsia="仿宋" w:cs="仿宋"/>
          <w:color w:val="000000" w:themeColor="text1"/>
          <w:sz w:val="24"/>
          <w:szCs w:val="24"/>
          <w:lang w:val="zh-CN"/>
          <w14:textFill>
            <w14:solidFill>
              <w14:schemeClr w14:val="tx1"/>
            </w14:solidFill>
          </w14:textFill>
        </w:rPr>
        <w:t>。响应文件满足磋商文件全部实质性要求，且按照评审因素的量化指标评审得分由高到低按顺序推荐</w:t>
      </w:r>
      <w:r>
        <w:rPr>
          <w:rFonts w:hint="eastAsia" w:ascii="仿宋" w:hAnsi="仿宋" w:eastAsia="仿宋" w:cs="仿宋"/>
          <w:color w:val="000000" w:themeColor="text1"/>
          <w:sz w:val="24"/>
          <w:szCs w:val="24"/>
          <w14:textFill>
            <w14:solidFill>
              <w14:schemeClr w14:val="tx1"/>
            </w14:solidFill>
          </w14:textFill>
        </w:rPr>
        <w:t>三</w:t>
      </w:r>
      <w:r>
        <w:rPr>
          <w:rFonts w:ascii="仿宋" w:hAnsi="仿宋" w:eastAsia="仿宋" w:cs="仿宋"/>
          <w:color w:val="000000" w:themeColor="text1"/>
          <w:sz w:val="24"/>
          <w:szCs w:val="24"/>
          <w:lang w:val="zh-CN"/>
          <w14:textFill>
            <w14:solidFill>
              <w14:schemeClr w14:val="tx1"/>
            </w14:solidFill>
          </w14:textFill>
        </w:rPr>
        <w:t>名成交候选人，</w:t>
      </w:r>
      <w:r>
        <w:rPr>
          <w:rFonts w:hint="eastAsia" w:ascii="仿宋" w:hAnsi="仿宋" w:eastAsia="仿宋" w:cs="仿宋"/>
          <w:color w:val="000000" w:themeColor="text1"/>
          <w:sz w:val="24"/>
          <w:szCs w:val="24"/>
          <w:lang w:val="zh-CN"/>
          <w14:textFill>
            <w14:solidFill>
              <w14:schemeClr w14:val="tx1"/>
            </w14:solidFill>
          </w14:textFill>
        </w:rPr>
        <w:t>由</w:t>
      </w:r>
      <w:r>
        <w:rPr>
          <w:rFonts w:hint="eastAsia" w:ascii="仿宋" w:hAnsi="仿宋" w:eastAsia="仿宋" w:cs="仿宋"/>
          <w:color w:val="000000" w:themeColor="text1"/>
          <w:sz w:val="24"/>
          <w:szCs w:val="24"/>
          <w14:textFill>
            <w14:solidFill>
              <w14:schemeClr w14:val="tx1"/>
            </w14:solidFill>
          </w14:textFill>
        </w:rPr>
        <w:t>采购人在推荐的成交候选供应商名单中按顺序确定一名成交供应商。</w:t>
      </w:r>
      <w:r>
        <w:rPr>
          <w:rFonts w:hint="eastAsia" w:ascii="仿宋" w:hAnsi="仿宋" w:eastAsia="仿宋" w:cs="仿宋"/>
          <w:color w:val="000000" w:themeColor="text1"/>
          <w:sz w:val="24"/>
          <w:szCs w:val="24"/>
          <w:lang w:val="zh-CN"/>
          <w14:textFill>
            <w14:solidFill>
              <w14:schemeClr w14:val="tx1"/>
            </w14:solidFill>
          </w14:textFill>
        </w:rPr>
        <w:t>具体打分办法如下：</w:t>
      </w:r>
    </w:p>
    <w:p w14:paraId="3E797617">
      <w:pPr>
        <w:pStyle w:val="30"/>
        <w:numPr>
          <w:ilvl w:val="255"/>
          <w:numId w:val="0"/>
        </w:numPr>
        <w:spacing w:line="360" w:lineRule="auto"/>
        <w:rPr>
          <w:rFonts w:ascii="仿宋" w:hAnsi="仿宋" w:eastAsia="仿宋" w:cs="仿宋"/>
          <w:snapToGrid w:val="0"/>
          <w:color w:val="000000"/>
          <w:kern w:val="0"/>
        </w:rPr>
      </w:pPr>
      <w:bookmarkStart w:id="206" w:name="_Toc6487"/>
      <w:bookmarkStart w:id="207" w:name="_Toc11960"/>
      <w:bookmarkStart w:id="208" w:name="_Toc8229"/>
      <w:r>
        <w:rPr>
          <w:rFonts w:hint="eastAsia" w:ascii="仿宋" w:hAnsi="仿宋" w:eastAsia="仿宋" w:cs="仿宋"/>
          <w:snapToGrid w:val="0"/>
          <w:color w:val="000000"/>
          <w:kern w:val="0"/>
        </w:rPr>
        <w:t>二、评审标准</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Pr>
          <w:rFonts w:hint="eastAsia" w:ascii="仿宋" w:hAnsi="仿宋" w:eastAsia="仿宋" w:cs="仿宋"/>
          <w:snapToGrid w:val="0"/>
          <w:color w:val="000000"/>
          <w:kern w:val="0"/>
        </w:rPr>
        <w:tab/>
      </w:r>
    </w:p>
    <w:tbl>
      <w:tblPr>
        <w:tblStyle w:val="20"/>
        <w:tblW w:w="9740"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5"/>
        <w:gridCol w:w="1296"/>
        <w:gridCol w:w="5819"/>
        <w:gridCol w:w="10"/>
        <w:gridCol w:w="1470"/>
      </w:tblGrid>
      <w:tr w14:paraId="0538D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blHeader/>
        </w:trPr>
        <w:tc>
          <w:tcPr>
            <w:tcW w:w="1145" w:type="dxa"/>
            <w:shd w:val="clear" w:color="auto" w:fill="D8D8D8" w:themeFill="background1" w:themeFillShade="D9"/>
            <w:vAlign w:val="center"/>
          </w:tcPr>
          <w:p w14:paraId="2A8297E9">
            <w:pPr>
              <w:widowControl/>
              <w:jc w:val="center"/>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序号</w:t>
            </w:r>
          </w:p>
        </w:tc>
        <w:tc>
          <w:tcPr>
            <w:tcW w:w="1296" w:type="dxa"/>
            <w:shd w:val="clear" w:color="auto" w:fill="D8D8D8" w:themeFill="background1" w:themeFillShade="D9"/>
            <w:vAlign w:val="center"/>
          </w:tcPr>
          <w:p w14:paraId="63C05CEC">
            <w:pPr>
              <w:widowControl/>
              <w:jc w:val="center"/>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评审</w:t>
            </w:r>
          </w:p>
          <w:p w14:paraId="6BED3633">
            <w:pPr>
              <w:widowControl/>
              <w:jc w:val="center"/>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因素</w:t>
            </w:r>
          </w:p>
        </w:tc>
        <w:tc>
          <w:tcPr>
            <w:tcW w:w="5829" w:type="dxa"/>
            <w:gridSpan w:val="2"/>
            <w:shd w:val="clear" w:color="auto" w:fill="D8D8D8" w:themeFill="background1" w:themeFillShade="D9"/>
            <w:vAlign w:val="center"/>
          </w:tcPr>
          <w:p w14:paraId="2483F572">
            <w:pPr>
              <w:widowControl/>
              <w:jc w:val="center"/>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评审细则</w:t>
            </w:r>
          </w:p>
        </w:tc>
        <w:tc>
          <w:tcPr>
            <w:tcW w:w="1470" w:type="dxa"/>
            <w:shd w:val="clear" w:color="auto" w:fill="D8D8D8" w:themeFill="background1" w:themeFillShade="D9"/>
            <w:vAlign w:val="center"/>
          </w:tcPr>
          <w:p w14:paraId="2B58F5C3">
            <w:pPr>
              <w:widowControl/>
              <w:jc w:val="center"/>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得分</w:t>
            </w:r>
          </w:p>
        </w:tc>
      </w:tr>
      <w:tr w14:paraId="2B5A2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9740" w:type="dxa"/>
            <w:gridSpan w:val="5"/>
            <w:shd w:val="clear" w:color="auto" w:fill="auto"/>
            <w:vAlign w:val="center"/>
          </w:tcPr>
          <w:p w14:paraId="1BE06418">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（一）价格部分（10分）</w:t>
            </w:r>
          </w:p>
        </w:tc>
      </w:tr>
      <w:tr w14:paraId="1A980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1145" w:type="dxa"/>
            <w:shd w:val="clear" w:color="auto" w:fill="auto"/>
            <w:vAlign w:val="center"/>
          </w:tcPr>
          <w:p w14:paraId="3010482B">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1.1</w:t>
            </w:r>
          </w:p>
        </w:tc>
        <w:tc>
          <w:tcPr>
            <w:tcW w:w="1296" w:type="dxa"/>
            <w:shd w:val="clear" w:color="auto" w:fill="auto"/>
            <w:vAlign w:val="center"/>
          </w:tcPr>
          <w:p w14:paraId="0D9851EB">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价格</w:t>
            </w:r>
          </w:p>
        </w:tc>
        <w:tc>
          <w:tcPr>
            <w:tcW w:w="5829" w:type="dxa"/>
            <w:gridSpan w:val="2"/>
            <w:shd w:val="clear" w:color="auto" w:fill="auto"/>
            <w:vAlign w:val="center"/>
          </w:tcPr>
          <w:p w14:paraId="5064FD05">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采用低价优先法计算，即满足采购文件要求且评审价格最低的为评审基准价，其价格分为满分。其他供应商的价格分统一按照下列公式计算：磋商报价得分=（磋商基准价/磋商报价)×10。（小数点后保留两位）</w:t>
            </w:r>
          </w:p>
        </w:tc>
        <w:tc>
          <w:tcPr>
            <w:tcW w:w="1470" w:type="dxa"/>
            <w:shd w:val="clear" w:color="auto" w:fill="auto"/>
            <w:vAlign w:val="center"/>
          </w:tcPr>
          <w:p w14:paraId="139A9E27">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10</w:t>
            </w:r>
          </w:p>
        </w:tc>
      </w:tr>
      <w:tr w14:paraId="525E2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9740" w:type="dxa"/>
            <w:gridSpan w:val="5"/>
            <w:shd w:val="clear" w:color="auto" w:fill="auto"/>
            <w:vAlign w:val="center"/>
          </w:tcPr>
          <w:p w14:paraId="55B83969">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（二）技术部分(61分)</w:t>
            </w:r>
          </w:p>
        </w:tc>
      </w:tr>
      <w:tr w14:paraId="2CEC0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1145" w:type="dxa"/>
            <w:shd w:val="clear" w:color="auto" w:fill="auto"/>
            <w:vAlign w:val="center"/>
          </w:tcPr>
          <w:p w14:paraId="71896258">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2.1</w:t>
            </w:r>
          </w:p>
        </w:tc>
        <w:tc>
          <w:tcPr>
            <w:tcW w:w="1296" w:type="dxa"/>
            <w:shd w:val="clear" w:color="auto" w:fill="auto"/>
            <w:vAlign w:val="center"/>
          </w:tcPr>
          <w:p w14:paraId="6A45D97B">
            <w:pPr>
              <w:widowControl/>
              <w:rPr>
                <w:rFonts w:ascii="仿宋" w:hAnsi="仿宋" w:eastAsia="仿宋" w:cs="仿宋"/>
                <w:color w:val="000000"/>
                <w:kern w:val="0"/>
                <w:sz w:val="24"/>
                <w:szCs w:val="24"/>
              </w:rPr>
            </w:pPr>
            <w:r>
              <w:rPr>
                <w:rFonts w:hint="eastAsia" w:ascii="仿宋" w:hAnsi="仿宋" w:eastAsia="仿宋" w:cs="仿宋"/>
                <w:color w:val="000000"/>
                <w:kern w:val="0"/>
                <w:sz w:val="24"/>
                <w:szCs w:val="24"/>
              </w:rPr>
              <w:t>实施方案</w:t>
            </w:r>
          </w:p>
        </w:tc>
        <w:tc>
          <w:tcPr>
            <w:tcW w:w="5829" w:type="dxa"/>
            <w:gridSpan w:val="2"/>
            <w:shd w:val="clear" w:color="auto" w:fill="auto"/>
            <w:vAlign w:val="center"/>
          </w:tcPr>
          <w:p w14:paraId="1B46718D">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根据供应商提供的测评实施方案的完整性和合理性进行评分；</w:t>
            </w:r>
          </w:p>
          <w:p w14:paraId="73CD6F70">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方案合理，具备非常好的可行性得5分；</w:t>
            </w:r>
          </w:p>
          <w:p w14:paraId="64BAA360">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方案一般，具备一般的可行性得2分；</w:t>
            </w:r>
          </w:p>
          <w:p w14:paraId="426B9301">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方案相关内容缺失，不具备可行性得0分。</w:t>
            </w:r>
          </w:p>
        </w:tc>
        <w:tc>
          <w:tcPr>
            <w:tcW w:w="1470" w:type="dxa"/>
            <w:shd w:val="clear" w:color="auto" w:fill="auto"/>
            <w:vAlign w:val="center"/>
          </w:tcPr>
          <w:p w14:paraId="552CB382">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5</w:t>
            </w:r>
          </w:p>
        </w:tc>
      </w:tr>
      <w:tr w14:paraId="6C947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1145" w:type="dxa"/>
            <w:shd w:val="clear" w:color="auto" w:fill="auto"/>
            <w:vAlign w:val="center"/>
          </w:tcPr>
          <w:p w14:paraId="5966CC41">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2.2</w:t>
            </w:r>
          </w:p>
        </w:tc>
        <w:tc>
          <w:tcPr>
            <w:tcW w:w="1296" w:type="dxa"/>
            <w:shd w:val="clear" w:color="auto" w:fill="auto"/>
            <w:vAlign w:val="center"/>
          </w:tcPr>
          <w:p w14:paraId="7BE37189">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质控体系</w:t>
            </w:r>
          </w:p>
        </w:tc>
        <w:tc>
          <w:tcPr>
            <w:tcW w:w="5829" w:type="dxa"/>
            <w:gridSpan w:val="2"/>
            <w:shd w:val="clear" w:color="auto" w:fill="auto"/>
            <w:vAlign w:val="center"/>
          </w:tcPr>
          <w:p w14:paraId="15600352">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根据供应商提供的企业组织架构、内控制度、质控体系进行评分；</w:t>
            </w:r>
          </w:p>
          <w:p w14:paraId="0980B1B0">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组织架构合理，内控制度健全、质控体系完备，完全满足采购需求中的服务要求，得5分；</w:t>
            </w:r>
          </w:p>
          <w:p w14:paraId="2707824B">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组织架构合理，内控制度、质控体系较完整，基本满足采购需求中的服务要求，得2分；</w:t>
            </w:r>
          </w:p>
          <w:p w14:paraId="009E61D9">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组织架构、内控制度、质控体系不健全，不能满足采购需求中的服务要求，得0分。</w:t>
            </w:r>
          </w:p>
        </w:tc>
        <w:tc>
          <w:tcPr>
            <w:tcW w:w="1470" w:type="dxa"/>
            <w:shd w:val="clear" w:color="auto" w:fill="auto"/>
            <w:vAlign w:val="center"/>
          </w:tcPr>
          <w:p w14:paraId="2629D476">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5</w:t>
            </w:r>
          </w:p>
        </w:tc>
      </w:tr>
      <w:tr w14:paraId="6F093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145" w:type="dxa"/>
            <w:shd w:val="clear" w:color="auto" w:fill="auto"/>
            <w:vAlign w:val="center"/>
          </w:tcPr>
          <w:p w14:paraId="0CA7996E">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2.3</w:t>
            </w:r>
          </w:p>
        </w:tc>
        <w:tc>
          <w:tcPr>
            <w:tcW w:w="1296" w:type="dxa"/>
            <w:shd w:val="clear" w:color="auto" w:fill="auto"/>
            <w:vAlign w:val="center"/>
          </w:tcPr>
          <w:p w14:paraId="0C6FDC39">
            <w:pPr>
              <w:widowControl/>
              <w:rPr>
                <w:rFonts w:ascii="仿宋" w:hAnsi="仿宋" w:eastAsia="仿宋" w:cs="仿宋"/>
                <w:color w:val="000000"/>
                <w:kern w:val="0"/>
                <w:sz w:val="24"/>
                <w:szCs w:val="24"/>
              </w:rPr>
            </w:pPr>
            <w:r>
              <w:rPr>
                <w:rFonts w:hint="eastAsia" w:ascii="仿宋" w:hAnsi="仿宋" w:eastAsia="仿宋" w:cs="仿宋"/>
                <w:color w:val="000000"/>
                <w:kern w:val="0"/>
                <w:sz w:val="24"/>
                <w:szCs w:val="24"/>
              </w:rPr>
              <w:t>测评进度</w:t>
            </w:r>
          </w:p>
        </w:tc>
        <w:tc>
          <w:tcPr>
            <w:tcW w:w="5829" w:type="dxa"/>
            <w:gridSpan w:val="2"/>
            <w:shd w:val="clear" w:color="auto" w:fill="auto"/>
            <w:vAlign w:val="center"/>
          </w:tcPr>
          <w:p w14:paraId="7EFCFA25">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根据供应商提供的测评进度安排和成果交付方案进行评分；</w:t>
            </w:r>
          </w:p>
          <w:p w14:paraId="7CEB0088">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测评进度和成果交付安排合理，完全满足采购文件要求的，得5分；</w:t>
            </w:r>
          </w:p>
          <w:p w14:paraId="686D0797">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测评进度和成果交付安排合理，基本满足采购文件要求的，得2分；</w:t>
            </w:r>
          </w:p>
          <w:p w14:paraId="1BEFE27B">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测评进度和成果交付安排不合理，不能满足采购文件要求的，得0分。</w:t>
            </w:r>
          </w:p>
        </w:tc>
        <w:tc>
          <w:tcPr>
            <w:tcW w:w="1470" w:type="dxa"/>
            <w:shd w:val="clear" w:color="auto" w:fill="auto"/>
            <w:vAlign w:val="center"/>
          </w:tcPr>
          <w:p w14:paraId="150B6272">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5</w:t>
            </w:r>
          </w:p>
        </w:tc>
      </w:tr>
      <w:tr w14:paraId="2E78A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trPr>
        <w:tc>
          <w:tcPr>
            <w:tcW w:w="1145" w:type="dxa"/>
            <w:shd w:val="clear" w:color="auto" w:fill="auto"/>
            <w:vAlign w:val="center"/>
          </w:tcPr>
          <w:p w14:paraId="6A7C1FE4">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2.4</w:t>
            </w:r>
          </w:p>
        </w:tc>
        <w:tc>
          <w:tcPr>
            <w:tcW w:w="1296" w:type="dxa"/>
            <w:shd w:val="clear" w:color="auto" w:fill="auto"/>
            <w:vAlign w:val="center"/>
          </w:tcPr>
          <w:p w14:paraId="2775DEF2">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售后服务方案</w:t>
            </w:r>
          </w:p>
        </w:tc>
        <w:tc>
          <w:tcPr>
            <w:tcW w:w="5829" w:type="dxa"/>
            <w:gridSpan w:val="2"/>
            <w:shd w:val="clear" w:color="auto" w:fill="auto"/>
            <w:vAlign w:val="center"/>
          </w:tcPr>
          <w:p w14:paraId="34B782BC">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售后服务方案全面合理，服务流程及内容具体，响应时间迅速，服务人员齐备，得5分。</w:t>
            </w:r>
          </w:p>
          <w:p w14:paraId="0C7911AC">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售后服务方案较全面，有基本服务流程及内容，响应时间较为迅速，服务人员匹配基本满足需求，得2分。</w:t>
            </w:r>
          </w:p>
          <w:p w14:paraId="568B4312">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售后服务方案较片面，服务流程及内容空洞或欠缺，响应时间缓慢，服务人员匹配欠缺，得0分。</w:t>
            </w:r>
          </w:p>
        </w:tc>
        <w:tc>
          <w:tcPr>
            <w:tcW w:w="1470" w:type="dxa"/>
            <w:shd w:val="clear" w:color="auto" w:fill="auto"/>
            <w:vAlign w:val="center"/>
          </w:tcPr>
          <w:p w14:paraId="3CDB5C28">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5</w:t>
            </w:r>
          </w:p>
        </w:tc>
      </w:tr>
      <w:tr w14:paraId="10299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5" w:hRule="atLeast"/>
        </w:trPr>
        <w:tc>
          <w:tcPr>
            <w:tcW w:w="1145" w:type="dxa"/>
            <w:vMerge w:val="restart"/>
            <w:shd w:val="clear" w:color="auto" w:fill="auto"/>
            <w:vAlign w:val="center"/>
          </w:tcPr>
          <w:p w14:paraId="44F2BA92">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2.5</w:t>
            </w:r>
          </w:p>
        </w:tc>
        <w:tc>
          <w:tcPr>
            <w:tcW w:w="1296" w:type="dxa"/>
            <w:vMerge w:val="restart"/>
            <w:shd w:val="clear" w:color="auto" w:fill="auto"/>
            <w:vAlign w:val="center"/>
          </w:tcPr>
          <w:p w14:paraId="02FE1BEA">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团队服务能力</w:t>
            </w:r>
          </w:p>
        </w:tc>
        <w:tc>
          <w:tcPr>
            <w:tcW w:w="5829" w:type="dxa"/>
            <w:gridSpan w:val="2"/>
            <w:shd w:val="clear" w:color="auto" w:fill="auto"/>
            <w:vAlign w:val="center"/>
          </w:tcPr>
          <w:p w14:paraId="4E0C0EF7">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对本项目负责人兼技术负责人技术能力进行评审：</w:t>
            </w:r>
          </w:p>
          <w:p w14:paraId="456531CE">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（1）负责人在国家密码管理局组织的商用密码应用安全性评估人员测评能力考核中，成绩在80分（含）以上的得3分，成绩在70分（含）以上得1分；</w:t>
            </w:r>
          </w:p>
          <w:p w14:paraId="2D1C6962">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（2）负责人具有电子信息工程专业领域副高级（含）以上的职称，得3分；</w:t>
            </w:r>
          </w:p>
          <w:p w14:paraId="48448625">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 xml:space="preserve">（3）负责人具有网络安全能力认证（CCSC）/注册信息安全专业人员（CISP）/数据安全评估师（CCRC-DSA）等证书，无CCSC证书本项不得分，有CCSC证书基础上，上述条件每具备一项得2分，否则不得分，最高得6分。 </w:t>
            </w:r>
          </w:p>
          <w:p w14:paraId="2A82FFBE">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（提供测评能力考核成绩单、证书复印件及近三个月为其缴纳社保证明材料复印件，否则不得分）</w:t>
            </w:r>
          </w:p>
        </w:tc>
        <w:tc>
          <w:tcPr>
            <w:tcW w:w="1470" w:type="dxa"/>
            <w:shd w:val="clear" w:color="auto" w:fill="auto"/>
            <w:vAlign w:val="center"/>
          </w:tcPr>
          <w:p w14:paraId="7AC15C33">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12</w:t>
            </w:r>
          </w:p>
        </w:tc>
      </w:tr>
      <w:tr w14:paraId="60EDB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9" w:hRule="atLeast"/>
        </w:trPr>
        <w:tc>
          <w:tcPr>
            <w:tcW w:w="1145" w:type="dxa"/>
            <w:vMerge w:val="continue"/>
            <w:vAlign w:val="center"/>
          </w:tcPr>
          <w:p w14:paraId="1FACD8C8">
            <w:pPr>
              <w:widowControl/>
              <w:jc w:val="left"/>
              <w:rPr>
                <w:rFonts w:ascii="仿宋" w:hAnsi="仿宋" w:eastAsia="仿宋" w:cs="仿宋"/>
                <w:color w:val="000000"/>
                <w:kern w:val="0"/>
                <w:sz w:val="24"/>
                <w:szCs w:val="24"/>
              </w:rPr>
            </w:pPr>
          </w:p>
        </w:tc>
        <w:tc>
          <w:tcPr>
            <w:tcW w:w="1296" w:type="dxa"/>
            <w:vMerge w:val="continue"/>
            <w:vAlign w:val="center"/>
          </w:tcPr>
          <w:p w14:paraId="057B553C">
            <w:pPr>
              <w:widowControl/>
              <w:jc w:val="left"/>
              <w:rPr>
                <w:rFonts w:ascii="仿宋" w:hAnsi="仿宋" w:eastAsia="仿宋" w:cs="仿宋"/>
                <w:color w:val="000000"/>
                <w:kern w:val="0"/>
                <w:sz w:val="24"/>
                <w:szCs w:val="24"/>
              </w:rPr>
            </w:pPr>
          </w:p>
        </w:tc>
        <w:tc>
          <w:tcPr>
            <w:tcW w:w="5829" w:type="dxa"/>
            <w:gridSpan w:val="2"/>
            <w:shd w:val="clear" w:color="auto" w:fill="auto"/>
            <w:vAlign w:val="center"/>
          </w:tcPr>
          <w:p w14:paraId="3DB38465">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技术人员要求（不含项目负责人）：</w:t>
            </w:r>
          </w:p>
          <w:p w14:paraId="02127E4F">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在通过国家密码管理局组织的商用密码应用安全性评估人员测评能力考核的基础上（须提供能力考核通过证书扫描件），具有下列相应证书的：</w:t>
            </w:r>
          </w:p>
          <w:p w14:paraId="6A0E74DF">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（1）具有电子信息工程领域副高级（含）以上职称的，有1人得2分，最高得8分；</w:t>
            </w:r>
          </w:p>
          <w:p w14:paraId="5E51E506">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（2）具有风险管理信息安全保障人员认证证书（专业级）和应急服务信息安全保障人员（专业级）认证证书的，每有1人得2分，最高得8分。</w:t>
            </w:r>
          </w:p>
          <w:p w14:paraId="5119E023">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（3）具备由中国密码学会颁发的密码相关竞赛获奖证书的，一等奖得2分，二等奖得1分，最高得4分。</w:t>
            </w:r>
          </w:p>
          <w:p w14:paraId="752FB6D5">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（供应商需提供近三个月为以上人员缴纳社保的证明材料、相关有效证书、商用密码应用安全性评估人员测评能力考核成绩单证明材料扫描件，并加盖供应商公章，未按要求提供不得分）</w:t>
            </w:r>
          </w:p>
        </w:tc>
        <w:tc>
          <w:tcPr>
            <w:tcW w:w="1470" w:type="dxa"/>
            <w:shd w:val="clear" w:color="auto" w:fill="auto"/>
            <w:vAlign w:val="center"/>
          </w:tcPr>
          <w:p w14:paraId="0C1AA492">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20</w:t>
            </w:r>
          </w:p>
        </w:tc>
      </w:tr>
      <w:tr w14:paraId="08226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5" w:type="dxa"/>
            <w:vMerge w:val="continue"/>
            <w:vAlign w:val="center"/>
          </w:tcPr>
          <w:p w14:paraId="2ECD4351">
            <w:pPr>
              <w:widowControl/>
              <w:jc w:val="left"/>
              <w:rPr>
                <w:rFonts w:ascii="仿宋" w:hAnsi="仿宋" w:eastAsia="仿宋" w:cs="仿宋"/>
                <w:color w:val="000000"/>
                <w:kern w:val="0"/>
                <w:sz w:val="24"/>
                <w:szCs w:val="24"/>
              </w:rPr>
            </w:pPr>
          </w:p>
        </w:tc>
        <w:tc>
          <w:tcPr>
            <w:tcW w:w="1296" w:type="dxa"/>
            <w:vMerge w:val="continue"/>
            <w:vAlign w:val="center"/>
          </w:tcPr>
          <w:p w14:paraId="361B270B">
            <w:pPr>
              <w:widowControl/>
              <w:jc w:val="left"/>
              <w:rPr>
                <w:rFonts w:ascii="仿宋" w:hAnsi="仿宋" w:eastAsia="仿宋" w:cs="仿宋"/>
                <w:color w:val="000000"/>
                <w:kern w:val="0"/>
                <w:sz w:val="24"/>
                <w:szCs w:val="24"/>
              </w:rPr>
            </w:pPr>
          </w:p>
        </w:tc>
        <w:tc>
          <w:tcPr>
            <w:tcW w:w="5829" w:type="dxa"/>
            <w:gridSpan w:val="2"/>
            <w:shd w:val="clear" w:color="auto" w:fill="auto"/>
            <w:vAlign w:val="center"/>
          </w:tcPr>
          <w:p w14:paraId="2BB2BDBD">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供应商拟投入本项目的技术团队人员，均具有3年以上密码测评项目从业经验的（</w:t>
            </w:r>
            <w:r>
              <w:rPr>
                <w:rFonts w:hint="eastAsia" w:ascii="仿宋" w:hAnsi="仿宋" w:eastAsia="仿宋" w:cs="仿宋"/>
                <w:b/>
                <w:bCs/>
                <w:color w:val="000000"/>
                <w:kern w:val="0"/>
                <w:sz w:val="24"/>
                <w:szCs w:val="24"/>
              </w:rPr>
              <w:t>提供案例合同和合同相关的测评报告</w:t>
            </w:r>
            <w:r>
              <w:rPr>
                <w:rFonts w:hint="eastAsia" w:ascii="仿宋" w:hAnsi="仿宋" w:eastAsia="仿宋" w:cs="仿宋"/>
                <w:color w:val="000000"/>
                <w:kern w:val="0"/>
                <w:sz w:val="24"/>
                <w:szCs w:val="24"/>
              </w:rPr>
              <w:t>），得3分；2年（含）以上3年以下的，得2分；2年以下得1分。</w:t>
            </w:r>
          </w:p>
        </w:tc>
        <w:tc>
          <w:tcPr>
            <w:tcW w:w="1470" w:type="dxa"/>
            <w:shd w:val="clear" w:color="auto" w:fill="auto"/>
            <w:vAlign w:val="center"/>
          </w:tcPr>
          <w:p w14:paraId="428B0313">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3</w:t>
            </w:r>
          </w:p>
        </w:tc>
      </w:tr>
      <w:tr w14:paraId="5B92C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1145" w:type="dxa"/>
            <w:shd w:val="clear" w:color="auto" w:fill="auto"/>
            <w:vAlign w:val="center"/>
          </w:tcPr>
          <w:p w14:paraId="3C281064">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2.6</w:t>
            </w:r>
          </w:p>
        </w:tc>
        <w:tc>
          <w:tcPr>
            <w:tcW w:w="1296" w:type="dxa"/>
            <w:shd w:val="clear" w:color="auto" w:fill="auto"/>
            <w:vAlign w:val="center"/>
          </w:tcPr>
          <w:p w14:paraId="590442CA">
            <w:pPr>
              <w:widowControl/>
              <w:rPr>
                <w:rFonts w:ascii="仿宋" w:hAnsi="仿宋" w:eastAsia="仿宋" w:cs="仿宋"/>
                <w:color w:val="000000"/>
                <w:kern w:val="0"/>
                <w:sz w:val="24"/>
                <w:szCs w:val="24"/>
              </w:rPr>
            </w:pPr>
            <w:r>
              <w:rPr>
                <w:rFonts w:hint="eastAsia" w:ascii="仿宋" w:hAnsi="仿宋" w:eastAsia="仿宋" w:cs="仿宋"/>
                <w:color w:val="000000"/>
                <w:kern w:val="0"/>
                <w:sz w:val="24"/>
                <w:szCs w:val="24"/>
              </w:rPr>
              <w:t>服务案例</w:t>
            </w:r>
          </w:p>
        </w:tc>
        <w:tc>
          <w:tcPr>
            <w:tcW w:w="5829" w:type="dxa"/>
            <w:gridSpan w:val="2"/>
            <w:shd w:val="clear" w:color="auto" w:fill="auto"/>
            <w:vAlign w:val="center"/>
          </w:tcPr>
          <w:p w14:paraId="56B9A1AD">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（1）供应商承担过省级及以上密码管理部门委托的商用密码应用安全性评估项目的得2分，承担过市级密码管理部门委托的商用密码应用安全性评估项目的一个得0.5分，本项最高得2分。</w:t>
            </w:r>
          </w:p>
          <w:p w14:paraId="0E210188">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（2）供应商提供自2021年8月1日以来为密码测评项目的相关案例（案例主要标的物至少包含 “密码应用安全性评估”），提供一个省级及以上案例得1分，提供一个市级案例得0.5分，本项最高得3分，未按要求提供的不得分。</w:t>
            </w:r>
          </w:p>
          <w:p w14:paraId="673A3D65">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（3）供应商承担过省级及以上密码管理部门主办的商用密码竞赛得1分，承担过市级密码管理部门主办的商用密码竞赛得0.5分，本项最高得1分。</w:t>
            </w:r>
          </w:p>
          <w:p w14:paraId="118E51B5">
            <w:pPr>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（供应商应提供有效合同扫描件或办赛相关证明文件，并加盖供应商公章，同一个案例不重复计分，未按要求提供不得分）</w:t>
            </w:r>
          </w:p>
        </w:tc>
        <w:tc>
          <w:tcPr>
            <w:tcW w:w="1470" w:type="dxa"/>
            <w:shd w:val="clear" w:color="auto" w:fill="auto"/>
            <w:vAlign w:val="center"/>
          </w:tcPr>
          <w:p w14:paraId="7E4E665C">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6</w:t>
            </w:r>
          </w:p>
        </w:tc>
      </w:tr>
      <w:tr w14:paraId="7A4B0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9740" w:type="dxa"/>
            <w:gridSpan w:val="5"/>
            <w:shd w:val="clear" w:color="auto" w:fill="auto"/>
            <w:vAlign w:val="center"/>
          </w:tcPr>
          <w:p w14:paraId="1B518769">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（三）商务部分（29分）</w:t>
            </w:r>
          </w:p>
        </w:tc>
      </w:tr>
      <w:tr w14:paraId="4F136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3" w:hRule="atLeast"/>
        </w:trPr>
        <w:tc>
          <w:tcPr>
            <w:tcW w:w="1145" w:type="dxa"/>
            <w:shd w:val="clear" w:color="auto" w:fill="auto"/>
            <w:vAlign w:val="center"/>
          </w:tcPr>
          <w:p w14:paraId="0D2E495F">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3.1</w:t>
            </w:r>
          </w:p>
        </w:tc>
        <w:tc>
          <w:tcPr>
            <w:tcW w:w="1296" w:type="dxa"/>
            <w:shd w:val="clear" w:color="auto" w:fill="auto"/>
            <w:vAlign w:val="center"/>
          </w:tcPr>
          <w:p w14:paraId="1F8E9097">
            <w:pPr>
              <w:widowControl/>
              <w:rPr>
                <w:rFonts w:ascii="仿宋" w:hAnsi="仿宋" w:eastAsia="仿宋" w:cs="仿宋"/>
                <w:color w:val="000000"/>
                <w:kern w:val="0"/>
                <w:sz w:val="24"/>
                <w:szCs w:val="24"/>
              </w:rPr>
            </w:pPr>
            <w:r>
              <w:rPr>
                <w:rFonts w:hint="eastAsia" w:ascii="仿宋" w:hAnsi="仿宋" w:eastAsia="仿宋" w:cs="仿宋"/>
                <w:color w:val="000000"/>
                <w:kern w:val="0"/>
                <w:sz w:val="24"/>
                <w:szCs w:val="24"/>
              </w:rPr>
              <w:t>履约能力</w:t>
            </w:r>
          </w:p>
        </w:tc>
        <w:tc>
          <w:tcPr>
            <w:tcW w:w="5819" w:type="dxa"/>
            <w:shd w:val="clear" w:color="auto" w:fill="auto"/>
            <w:vAlign w:val="center"/>
          </w:tcPr>
          <w:p w14:paraId="0BAB761B">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（1）供应商具有有效期内的国家密码管理部门颁发的商用密码检测机构资质证书，得5分；（提供证书复印件）</w:t>
            </w:r>
          </w:p>
          <w:p w14:paraId="788FF1D6">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（2）供应商具有国家级检验检测机构资质认定证书（CMA证书），得6分；（提供证书复印件）</w:t>
            </w:r>
          </w:p>
          <w:p w14:paraId="772013D4">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（3）供应商具有中国合格评定认可委员会认可的检验机构和检测实验室资质(检验能力范围需明确包含商用密码应用安全性评估和信息安全风险评估)，得6分；（提供证书复印件）</w:t>
            </w:r>
          </w:p>
          <w:p w14:paraId="0DCEF4B6">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（4）供应商参与起草过信息安全、密码领域的国家标准制订工作的，得6分；（该项需提供标准文件的封面和“前言”页面复印件并加盖公章，未提供不得分）</w:t>
            </w:r>
          </w:p>
          <w:p w14:paraId="3A0EB33B">
            <w:pPr>
              <w:widowControl/>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5）供应商提供服务所必需的合规的密码检测设备或工具，该设备或工具需经过国家密码局校准，并具有国家密码局商用密码检测中心颁发的《商用密码检测工具校准标识》，得6分，否则不得分。（该项需提供自有证明和校准标识复印件并加盖公章，未提供不得分）</w:t>
            </w:r>
          </w:p>
        </w:tc>
        <w:tc>
          <w:tcPr>
            <w:tcW w:w="1480" w:type="dxa"/>
            <w:gridSpan w:val="2"/>
            <w:shd w:val="clear" w:color="auto" w:fill="auto"/>
            <w:vAlign w:val="center"/>
          </w:tcPr>
          <w:p w14:paraId="1BD829DF">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29</w:t>
            </w:r>
          </w:p>
        </w:tc>
      </w:tr>
      <w:tr w14:paraId="25F7D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260" w:type="dxa"/>
            <w:gridSpan w:val="3"/>
            <w:shd w:val="clear" w:color="auto" w:fill="auto"/>
            <w:vAlign w:val="center"/>
          </w:tcPr>
          <w:p w14:paraId="445DB177">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合计</w:t>
            </w:r>
          </w:p>
        </w:tc>
        <w:tc>
          <w:tcPr>
            <w:tcW w:w="1480" w:type="dxa"/>
            <w:gridSpan w:val="2"/>
            <w:shd w:val="clear" w:color="auto" w:fill="auto"/>
            <w:vAlign w:val="center"/>
          </w:tcPr>
          <w:p w14:paraId="04273CF8">
            <w:pPr>
              <w:widowControl/>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100</w:t>
            </w:r>
          </w:p>
        </w:tc>
      </w:tr>
    </w:tbl>
    <w:p w14:paraId="15ECD6B0">
      <w:pPr>
        <w:spacing w:line="0" w:lineRule="atLeast"/>
        <w:rPr>
          <w:rFonts w:ascii="仿宋" w:hAnsi="仿宋" w:eastAsia="仿宋" w:cs="仿宋"/>
          <w:color w:val="000000"/>
        </w:rPr>
      </w:pPr>
    </w:p>
    <w:p w14:paraId="7A2B8D46">
      <w:pPr>
        <w:snapToGrid w:val="0"/>
        <w:spacing w:line="360" w:lineRule="auto"/>
        <w:ind w:firstLine="422" w:firstLineChars="200"/>
        <w:rPr>
          <w:rFonts w:ascii="仿宋" w:hAnsi="仿宋" w:eastAsia="仿宋" w:cs="仿宋"/>
          <w:b/>
          <w:bCs/>
          <w:color w:val="000000"/>
        </w:rPr>
      </w:pPr>
      <w:bookmarkStart w:id="209" w:name="_Toc7355"/>
      <w:bookmarkStart w:id="210" w:name="_Toc1129"/>
      <w:r>
        <w:rPr>
          <w:rFonts w:hint="eastAsia" w:ascii="仿宋" w:hAnsi="仿宋" w:eastAsia="仿宋" w:cs="仿宋"/>
          <w:b/>
          <w:bCs/>
          <w:color w:val="000000"/>
        </w:rPr>
        <w:t>说明：</w:t>
      </w:r>
      <w:bookmarkEnd w:id="209"/>
      <w:bookmarkEnd w:id="210"/>
      <w:bookmarkStart w:id="211" w:name="_Toc25170484"/>
      <w:bookmarkStart w:id="212" w:name="_Toc3274"/>
      <w:bookmarkStart w:id="213" w:name="_Toc5358"/>
      <w:r>
        <w:rPr>
          <w:rFonts w:hint="eastAsia" w:ascii="仿宋" w:hAnsi="仿宋" w:eastAsia="仿宋" w:cs="仿宋"/>
          <w:b/>
          <w:bCs/>
          <w:color w:val="000000"/>
        </w:rPr>
        <w:t>中小企业政策</w:t>
      </w:r>
    </w:p>
    <w:p w14:paraId="6DC82BB5">
      <w:pPr>
        <w:snapToGrid w:val="0"/>
        <w:spacing w:line="360" w:lineRule="auto"/>
        <w:ind w:firstLine="400" w:firstLineChars="200"/>
        <w:rPr>
          <w:rFonts w:ascii="仿宋" w:hAnsi="仿宋" w:eastAsia="仿宋" w:cs="仿宋"/>
          <w:bCs/>
          <w:color w:val="000000"/>
          <w:sz w:val="20"/>
          <w:szCs w:val="20"/>
        </w:rPr>
      </w:pPr>
      <w:r>
        <w:rPr>
          <w:rFonts w:hint="eastAsia" w:ascii="仿宋" w:hAnsi="仿宋" w:eastAsia="仿宋" w:cs="仿宋"/>
          <w:bCs/>
          <w:color w:val="000000"/>
          <w:sz w:val="20"/>
          <w:szCs w:val="20"/>
        </w:rPr>
        <w:t>（1）对于专门面向中小企业或小型、微型企业的项目，只面向中小企业或小型、微型企业采购。对于非专门面向中小企业的项目，对小型和微型企业产品的价格给予10%的扣除，用扣除后的价格参与评审。</w:t>
      </w:r>
    </w:p>
    <w:p w14:paraId="6A3236B9">
      <w:pPr>
        <w:snapToGrid w:val="0"/>
        <w:spacing w:line="360" w:lineRule="auto"/>
        <w:ind w:firstLine="400" w:firstLineChars="200"/>
        <w:rPr>
          <w:rFonts w:ascii="仿宋" w:hAnsi="仿宋" w:eastAsia="仿宋" w:cs="仿宋"/>
          <w:bCs/>
          <w:color w:val="000000"/>
          <w:sz w:val="20"/>
          <w:szCs w:val="20"/>
        </w:rPr>
      </w:pPr>
      <w:r>
        <w:rPr>
          <w:rFonts w:hint="eastAsia" w:ascii="仿宋" w:hAnsi="仿宋" w:eastAsia="仿宋" w:cs="仿宋"/>
          <w:bCs/>
          <w:color w:val="000000"/>
          <w:sz w:val="20"/>
          <w:szCs w:val="20"/>
        </w:rPr>
        <w:t>供应商提供的货物、工程或者服务符合下列情形的，享受本办法规定的中小企业扶持政策：</w:t>
      </w:r>
    </w:p>
    <w:p w14:paraId="4F6070B7">
      <w:pPr>
        <w:snapToGrid w:val="0"/>
        <w:spacing w:line="360" w:lineRule="auto"/>
        <w:ind w:firstLine="400" w:firstLineChars="200"/>
        <w:rPr>
          <w:rFonts w:ascii="仿宋" w:hAnsi="仿宋" w:eastAsia="仿宋" w:cs="仿宋"/>
          <w:bCs/>
          <w:color w:val="000000"/>
          <w:sz w:val="20"/>
          <w:szCs w:val="20"/>
        </w:rPr>
      </w:pPr>
      <w:r>
        <w:rPr>
          <w:rFonts w:hint="eastAsia" w:ascii="仿宋" w:hAnsi="仿宋" w:eastAsia="仿宋" w:cs="仿宋"/>
          <w:bCs/>
          <w:color w:val="000000"/>
          <w:sz w:val="20"/>
          <w:szCs w:val="20"/>
        </w:rPr>
        <w:t>（一）在货物采购项目中，货物由中小企业制造，即货物由中小企业生产且使用该中小企业商号或者注册商标；</w:t>
      </w:r>
    </w:p>
    <w:p w14:paraId="7CD513DA">
      <w:pPr>
        <w:snapToGrid w:val="0"/>
        <w:spacing w:line="360" w:lineRule="auto"/>
        <w:ind w:firstLine="400" w:firstLineChars="200"/>
        <w:rPr>
          <w:rFonts w:ascii="仿宋" w:hAnsi="仿宋" w:eastAsia="仿宋" w:cs="仿宋"/>
          <w:bCs/>
          <w:color w:val="000000"/>
          <w:sz w:val="20"/>
          <w:szCs w:val="20"/>
        </w:rPr>
      </w:pPr>
      <w:r>
        <w:rPr>
          <w:rFonts w:hint="eastAsia" w:ascii="仿宋" w:hAnsi="仿宋" w:eastAsia="仿宋" w:cs="仿宋"/>
          <w:bCs/>
          <w:color w:val="000000"/>
          <w:sz w:val="20"/>
          <w:szCs w:val="20"/>
        </w:rPr>
        <w:t>（二）在工程采购项目中，工程由中小企业承建，即工程施工单位为中小企业；</w:t>
      </w:r>
    </w:p>
    <w:p w14:paraId="674825C2">
      <w:pPr>
        <w:snapToGrid w:val="0"/>
        <w:spacing w:line="360" w:lineRule="auto"/>
        <w:ind w:firstLine="400" w:firstLineChars="200"/>
        <w:rPr>
          <w:rFonts w:ascii="仿宋" w:hAnsi="仿宋" w:eastAsia="仿宋" w:cs="仿宋"/>
          <w:bCs/>
          <w:color w:val="000000"/>
          <w:sz w:val="20"/>
          <w:szCs w:val="20"/>
        </w:rPr>
      </w:pPr>
      <w:r>
        <w:rPr>
          <w:rFonts w:hint="eastAsia" w:ascii="仿宋" w:hAnsi="仿宋" w:eastAsia="仿宋" w:cs="仿宋"/>
          <w:bCs/>
          <w:color w:val="000000"/>
          <w:sz w:val="20"/>
          <w:szCs w:val="20"/>
        </w:rPr>
        <w:t>（三）在服务采购项目中，服务由中小企业承接，即提供服务的人员为中小企业依照《中华人民共和国劳动合同法》订立劳动合同的从业人员。</w:t>
      </w:r>
    </w:p>
    <w:p w14:paraId="138CB23E">
      <w:pPr>
        <w:snapToGrid w:val="0"/>
        <w:spacing w:line="360" w:lineRule="auto"/>
        <w:ind w:firstLine="400" w:firstLineChars="200"/>
        <w:rPr>
          <w:rFonts w:ascii="仿宋" w:hAnsi="仿宋" w:eastAsia="仿宋" w:cs="仿宋"/>
          <w:bCs/>
          <w:color w:val="000000"/>
          <w:sz w:val="20"/>
          <w:szCs w:val="20"/>
        </w:rPr>
      </w:pPr>
      <w:r>
        <w:rPr>
          <w:rFonts w:hint="eastAsia" w:ascii="仿宋" w:hAnsi="仿宋" w:eastAsia="仿宋" w:cs="仿宋"/>
          <w:bCs/>
          <w:color w:val="000000"/>
          <w:sz w:val="20"/>
          <w:szCs w:val="20"/>
        </w:rPr>
        <w:t>在货物采购项目中，供应商提供的货物既有中小企业制造货物，也有大型企业制造货物的，不享受本办法规定的中小企业扶持政策。</w:t>
      </w:r>
    </w:p>
    <w:p w14:paraId="42822F63">
      <w:pPr>
        <w:snapToGrid w:val="0"/>
        <w:spacing w:line="360" w:lineRule="auto"/>
        <w:ind w:firstLine="400" w:firstLineChars="200"/>
        <w:rPr>
          <w:rFonts w:ascii="仿宋" w:hAnsi="仿宋" w:eastAsia="仿宋" w:cs="仿宋"/>
          <w:bCs/>
          <w:color w:val="000000"/>
          <w:sz w:val="20"/>
          <w:szCs w:val="20"/>
        </w:rPr>
      </w:pPr>
      <w:r>
        <w:rPr>
          <w:rFonts w:hint="eastAsia" w:ascii="仿宋" w:hAnsi="仿宋" w:eastAsia="仿宋" w:cs="仿宋"/>
          <w:bCs/>
          <w:color w:val="000000"/>
          <w:sz w:val="20"/>
          <w:szCs w:val="20"/>
        </w:rPr>
        <w:t>以联合体形式参加政府采购活动，联合体各方均为中小企业的，联合体视同中小企业。其中，联合体各方均为小微企业的，联合体视同小微企业。</w:t>
      </w:r>
    </w:p>
    <w:p w14:paraId="147CE7B8">
      <w:pPr>
        <w:snapToGrid w:val="0"/>
        <w:spacing w:line="360" w:lineRule="auto"/>
        <w:ind w:firstLine="400" w:firstLineChars="200"/>
        <w:rPr>
          <w:rFonts w:ascii="仿宋" w:hAnsi="仿宋" w:eastAsia="仿宋" w:cs="仿宋"/>
          <w:bCs/>
          <w:color w:val="000000"/>
          <w:sz w:val="20"/>
          <w:szCs w:val="20"/>
        </w:rPr>
      </w:pPr>
      <w:r>
        <w:rPr>
          <w:rFonts w:hint="eastAsia" w:ascii="仿宋" w:hAnsi="仿宋" w:eastAsia="仿宋" w:cs="仿宋"/>
          <w:bCs/>
          <w:color w:val="000000"/>
          <w:sz w:val="20"/>
          <w:szCs w:val="20"/>
        </w:rPr>
        <w:t>（2）参加政府采购活动的中小企业应当提供《中小企业声明函》、由省级以上监狱管理局戒毒管理局(含新疆生产建设兵团)出具的属于监狱企业的证明文件或《残疾人福利性单位声明函》。</w:t>
      </w:r>
    </w:p>
    <w:p w14:paraId="4AB346BD">
      <w:pPr>
        <w:snapToGrid w:val="0"/>
        <w:spacing w:line="360" w:lineRule="auto"/>
        <w:ind w:firstLine="400" w:firstLineChars="200"/>
        <w:rPr>
          <w:rFonts w:ascii="仿宋" w:hAnsi="仿宋" w:eastAsia="仿宋" w:cs="仿宋"/>
          <w:bCs/>
          <w:color w:val="000000"/>
          <w:sz w:val="20"/>
          <w:szCs w:val="20"/>
        </w:rPr>
      </w:pPr>
      <w:r>
        <w:rPr>
          <w:rFonts w:hint="eastAsia" w:ascii="仿宋" w:hAnsi="仿宋" w:eastAsia="仿宋" w:cs="仿宋"/>
          <w:bCs/>
          <w:color w:val="000000"/>
          <w:sz w:val="20"/>
          <w:szCs w:val="20"/>
        </w:rPr>
        <w:t>（3）根据46号文第九条，接受大中型企业与小微企业组成联合体或者允许大中型企业向一家或者多家小微企业分包的采购项目，对于联合协议或者分包意向协议约定小微企业的合同份额占到合同总金额 30%以上的，给予联合体2%的价格扣除，用扣除后的价格参加评审。</w:t>
      </w:r>
    </w:p>
    <w:p w14:paraId="0D78A2B8">
      <w:pPr>
        <w:pStyle w:val="28"/>
        <w:spacing w:before="0" w:after="0"/>
        <w:ind w:firstLine="400"/>
        <w:rPr>
          <w:rFonts w:ascii="仿宋" w:hAnsi="仿宋" w:eastAsia="仿宋" w:cs="仿宋"/>
          <w:color w:val="000000"/>
          <w:sz w:val="20"/>
          <w:szCs w:val="20"/>
        </w:rPr>
      </w:pPr>
      <w:r>
        <w:rPr>
          <w:rFonts w:hint="eastAsia" w:ascii="仿宋" w:hAnsi="仿宋" w:eastAsia="仿宋" w:cs="仿宋"/>
          <w:color w:val="000000"/>
          <w:sz w:val="20"/>
          <w:szCs w:val="20"/>
        </w:rPr>
        <w:br w:type="page"/>
      </w:r>
    </w:p>
    <w:p w14:paraId="52668381">
      <w:pPr>
        <w:pStyle w:val="29"/>
        <w:spacing w:after="312" w:line="360" w:lineRule="auto"/>
        <w:rPr>
          <w:rFonts w:ascii="仿宋" w:hAnsi="仿宋" w:eastAsia="仿宋" w:cs="仿宋"/>
          <w:color w:val="000000"/>
        </w:rPr>
      </w:pPr>
      <w:bookmarkStart w:id="214" w:name="_Toc15270"/>
      <w:bookmarkStart w:id="215" w:name="_Toc28176"/>
      <w:bookmarkStart w:id="216" w:name="_Toc11783"/>
      <w:bookmarkStart w:id="217" w:name="_Toc1800"/>
      <w:r>
        <w:rPr>
          <w:rFonts w:hint="eastAsia" w:ascii="仿宋" w:hAnsi="仿宋" w:eastAsia="仿宋" w:cs="仿宋"/>
          <w:color w:val="000000"/>
        </w:rPr>
        <w:t>第六章  响应文件格式</w:t>
      </w:r>
      <w:bookmarkEnd w:id="116"/>
      <w:bookmarkEnd w:id="117"/>
      <w:bookmarkEnd w:id="118"/>
      <w:bookmarkEnd w:id="189"/>
      <w:bookmarkEnd w:id="190"/>
      <w:bookmarkEnd w:id="191"/>
      <w:bookmarkEnd w:id="211"/>
      <w:bookmarkEnd w:id="212"/>
      <w:bookmarkEnd w:id="213"/>
      <w:bookmarkEnd w:id="214"/>
      <w:bookmarkEnd w:id="215"/>
      <w:bookmarkEnd w:id="216"/>
      <w:bookmarkEnd w:id="217"/>
      <w:bookmarkStart w:id="218" w:name="_Toc26554094"/>
      <w:bookmarkStart w:id="219" w:name="_Toc120614282"/>
      <w:bookmarkStart w:id="220" w:name="_Toc49090576"/>
    </w:p>
    <w:p w14:paraId="751896D0">
      <w:pPr>
        <w:pStyle w:val="28"/>
        <w:spacing w:before="0" w:after="0"/>
        <w:ind w:firstLine="0" w:firstLineChars="0"/>
        <w:jc w:val="center"/>
        <w:rPr>
          <w:rFonts w:ascii="仿宋" w:hAnsi="仿宋" w:eastAsia="仿宋" w:cs="仿宋"/>
          <w:b/>
          <w:bCs/>
          <w:color w:val="000000"/>
          <w:sz w:val="72"/>
          <w:szCs w:val="72"/>
        </w:rPr>
      </w:pPr>
      <w:bookmarkStart w:id="221" w:name="_Toc12623"/>
      <w:bookmarkStart w:id="222" w:name="_Toc32395"/>
    </w:p>
    <w:p w14:paraId="14E410ED">
      <w:pPr>
        <w:pStyle w:val="28"/>
        <w:spacing w:before="0" w:after="0"/>
        <w:ind w:firstLine="0" w:firstLineChars="0"/>
        <w:jc w:val="center"/>
        <w:rPr>
          <w:rFonts w:ascii="仿宋" w:hAnsi="仿宋" w:eastAsia="仿宋" w:cs="仿宋"/>
          <w:b/>
          <w:bCs/>
          <w:color w:val="000000"/>
          <w:sz w:val="72"/>
          <w:szCs w:val="72"/>
        </w:rPr>
      </w:pPr>
    </w:p>
    <w:p w14:paraId="56F7A61D">
      <w:pPr>
        <w:pStyle w:val="28"/>
        <w:spacing w:before="0" w:after="0"/>
        <w:ind w:firstLine="0" w:firstLineChars="0"/>
        <w:jc w:val="center"/>
        <w:rPr>
          <w:rFonts w:ascii="仿宋" w:hAnsi="仿宋" w:eastAsia="仿宋" w:cs="仿宋"/>
          <w:b/>
          <w:bCs/>
          <w:color w:val="000000"/>
          <w:sz w:val="72"/>
          <w:szCs w:val="72"/>
        </w:rPr>
      </w:pPr>
      <w:r>
        <w:rPr>
          <w:rFonts w:hint="eastAsia" w:ascii="仿宋" w:hAnsi="仿宋" w:eastAsia="仿宋" w:cs="仿宋"/>
          <w:b/>
          <w:bCs/>
          <w:color w:val="000000"/>
          <w:sz w:val="72"/>
          <w:szCs w:val="72"/>
        </w:rPr>
        <w:t>竞争性磋商响应文件</w:t>
      </w:r>
      <w:bookmarkEnd w:id="221"/>
      <w:bookmarkEnd w:id="222"/>
    </w:p>
    <w:p w14:paraId="253BB6A7">
      <w:pPr>
        <w:pStyle w:val="28"/>
        <w:spacing w:before="0" w:after="0"/>
        <w:ind w:firstLine="0" w:firstLineChars="0"/>
        <w:jc w:val="center"/>
        <w:rPr>
          <w:rFonts w:ascii="仿宋" w:hAnsi="仿宋" w:eastAsia="仿宋" w:cs="仿宋"/>
          <w:b/>
          <w:bCs/>
          <w:color w:val="000000"/>
          <w:sz w:val="52"/>
          <w:szCs w:val="52"/>
        </w:rPr>
      </w:pPr>
      <w:bookmarkStart w:id="223" w:name="_Toc3841"/>
      <w:bookmarkStart w:id="224" w:name="_Toc27695"/>
    </w:p>
    <w:p w14:paraId="596CBAF4">
      <w:pPr>
        <w:pStyle w:val="28"/>
        <w:spacing w:before="0" w:after="0"/>
        <w:ind w:firstLine="0" w:firstLineChars="0"/>
        <w:jc w:val="center"/>
        <w:rPr>
          <w:rFonts w:ascii="仿宋" w:hAnsi="仿宋" w:eastAsia="仿宋" w:cs="仿宋"/>
          <w:b/>
          <w:bCs/>
          <w:color w:val="000000"/>
          <w:sz w:val="32"/>
          <w:szCs w:val="32"/>
        </w:rPr>
      </w:pPr>
      <w:r>
        <w:rPr>
          <w:rFonts w:hint="eastAsia" w:ascii="仿宋" w:hAnsi="仿宋" w:eastAsia="仿宋" w:cs="仿宋"/>
          <w:b/>
          <w:bCs/>
          <w:color w:val="000000"/>
          <w:sz w:val="52"/>
          <w:szCs w:val="52"/>
        </w:rPr>
        <w:t>（正本或副本）</w:t>
      </w:r>
      <w:bookmarkEnd w:id="223"/>
      <w:bookmarkEnd w:id="224"/>
    </w:p>
    <w:p w14:paraId="283D197B">
      <w:pPr>
        <w:pStyle w:val="28"/>
        <w:spacing w:before="0" w:after="0"/>
        <w:ind w:firstLine="0" w:firstLineChars="0"/>
        <w:rPr>
          <w:rFonts w:ascii="仿宋" w:hAnsi="仿宋" w:eastAsia="仿宋" w:cs="仿宋"/>
          <w:color w:val="000000"/>
        </w:rPr>
      </w:pPr>
    </w:p>
    <w:p w14:paraId="314F3A33">
      <w:pPr>
        <w:pStyle w:val="28"/>
        <w:spacing w:before="0" w:after="0"/>
        <w:ind w:firstLine="0" w:firstLineChars="0"/>
        <w:rPr>
          <w:rFonts w:ascii="仿宋" w:hAnsi="仿宋" w:eastAsia="仿宋" w:cs="仿宋"/>
          <w:color w:val="000000"/>
        </w:rPr>
      </w:pPr>
    </w:p>
    <w:p w14:paraId="5CA18424">
      <w:pPr>
        <w:pStyle w:val="28"/>
        <w:spacing w:before="0" w:after="0"/>
        <w:ind w:firstLine="0" w:firstLineChars="0"/>
        <w:rPr>
          <w:rFonts w:ascii="仿宋" w:hAnsi="仿宋" w:eastAsia="仿宋" w:cs="仿宋"/>
          <w:color w:val="000000"/>
        </w:rPr>
      </w:pPr>
    </w:p>
    <w:p w14:paraId="61D6C95A">
      <w:pPr>
        <w:pStyle w:val="28"/>
        <w:spacing w:before="0" w:after="0"/>
        <w:rPr>
          <w:rFonts w:ascii="仿宋" w:hAnsi="仿宋" w:eastAsia="仿宋" w:cs="仿宋"/>
          <w:color w:val="000000"/>
        </w:rPr>
      </w:pPr>
    </w:p>
    <w:p w14:paraId="20566F8E">
      <w:pPr>
        <w:pStyle w:val="28"/>
        <w:spacing w:before="0" w:after="0" w:line="600" w:lineRule="auto"/>
        <w:ind w:firstLine="0" w:firstLineChars="0"/>
        <w:jc w:val="center"/>
        <w:rPr>
          <w:rFonts w:ascii="仿宋" w:hAnsi="仿宋" w:eastAsia="仿宋" w:cs="仿宋"/>
          <w:b/>
          <w:bCs/>
          <w:color w:val="000000"/>
          <w:sz w:val="36"/>
          <w:szCs w:val="36"/>
        </w:rPr>
      </w:pPr>
      <w:bookmarkStart w:id="225" w:name="_Toc25917"/>
      <w:bookmarkStart w:id="226" w:name="_Toc32649"/>
      <w:r>
        <w:rPr>
          <w:rFonts w:hint="eastAsia" w:ascii="仿宋" w:hAnsi="仿宋" w:eastAsia="仿宋" w:cs="仿宋"/>
          <w:b/>
          <w:bCs/>
          <w:color w:val="000000"/>
          <w:sz w:val="36"/>
          <w:szCs w:val="36"/>
        </w:rPr>
        <w:t>项目名称：</w:t>
      </w:r>
      <w:bookmarkEnd w:id="225"/>
      <w:bookmarkEnd w:id="226"/>
      <w:bookmarkStart w:id="227" w:name="_Toc25091"/>
      <w:bookmarkStart w:id="228" w:name="_Toc21908"/>
      <w:r>
        <w:rPr>
          <w:rFonts w:hint="eastAsia" w:ascii="仿宋" w:hAnsi="仿宋" w:eastAsia="仿宋" w:cs="仿宋"/>
          <w:b/>
          <w:bCs/>
          <w:color w:val="000000"/>
          <w:sz w:val="36"/>
          <w:szCs w:val="36"/>
        </w:rPr>
        <w:t>江苏省高级人民法院密评项目</w:t>
      </w:r>
    </w:p>
    <w:p w14:paraId="7079240E">
      <w:pPr>
        <w:pStyle w:val="28"/>
        <w:spacing w:before="0" w:after="0" w:line="600" w:lineRule="auto"/>
        <w:ind w:firstLine="0" w:firstLineChars="0"/>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项目编号：</w:t>
      </w:r>
      <w:bookmarkEnd w:id="227"/>
      <w:bookmarkEnd w:id="228"/>
      <w:r>
        <w:rPr>
          <w:rFonts w:hint="eastAsia" w:ascii="仿宋" w:hAnsi="仿宋" w:eastAsia="仿宋" w:cs="仿宋"/>
          <w:b/>
          <w:bCs/>
          <w:color w:val="000000"/>
          <w:sz w:val="36"/>
          <w:szCs w:val="36"/>
        </w:rPr>
        <w:t>NJDCX-202406120824</w:t>
      </w:r>
    </w:p>
    <w:p w14:paraId="345E4271">
      <w:pPr>
        <w:pStyle w:val="28"/>
        <w:spacing w:before="0" w:after="0"/>
        <w:rPr>
          <w:rFonts w:ascii="仿宋" w:hAnsi="仿宋" w:eastAsia="仿宋" w:cs="仿宋"/>
          <w:color w:val="000000"/>
        </w:rPr>
      </w:pPr>
    </w:p>
    <w:p w14:paraId="5355E6B2">
      <w:pPr>
        <w:pStyle w:val="28"/>
        <w:spacing w:before="0" w:after="0"/>
        <w:rPr>
          <w:rFonts w:ascii="仿宋" w:hAnsi="仿宋" w:eastAsia="仿宋" w:cs="仿宋"/>
          <w:color w:val="000000"/>
        </w:rPr>
      </w:pPr>
    </w:p>
    <w:p w14:paraId="620165A0">
      <w:pPr>
        <w:pStyle w:val="28"/>
        <w:spacing w:before="0" w:after="0"/>
        <w:rPr>
          <w:rFonts w:ascii="仿宋" w:hAnsi="仿宋" w:eastAsia="仿宋" w:cs="仿宋"/>
          <w:color w:val="000000"/>
        </w:rPr>
      </w:pPr>
    </w:p>
    <w:p w14:paraId="79DA1CB9">
      <w:pPr>
        <w:pStyle w:val="28"/>
        <w:spacing w:before="0" w:after="0"/>
        <w:ind w:firstLine="0" w:firstLineChars="0"/>
        <w:rPr>
          <w:rFonts w:ascii="仿宋" w:hAnsi="仿宋" w:eastAsia="仿宋" w:cs="仿宋"/>
          <w:color w:val="000000"/>
        </w:rPr>
      </w:pPr>
    </w:p>
    <w:p w14:paraId="5EC65A12">
      <w:pPr>
        <w:pStyle w:val="28"/>
        <w:spacing w:before="0" w:after="0"/>
        <w:rPr>
          <w:rFonts w:ascii="仿宋" w:hAnsi="仿宋" w:eastAsia="仿宋" w:cs="仿宋"/>
          <w:color w:val="000000"/>
        </w:rPr>
      </w:pPr>
    </w:p>
    <w:p w14:paraId="5FCCEA77">
      <w:pPr>
        <w:pStyle w:val="28"/>
        <w:spacing w:before="0" w:after="0"/>
        <w:ind w:firstLine="843" w:firstLineChars="300"/>
        <w:rPr>
          <w:rFonts w:ascii="仿宋" w:hAnsi="仿宋" w:eastAsia="仿宋" w:cs="仿宋"/>
          <w:b/>
          <w:bCs/>
          <w:color w:val="000000"/>
          <w:sz w:val="28"/>
          <w:szCs w:val="28"/>
        </w:rPr>
      </w:pPr>
      <w:bookmarkStart w:id="229" w:name="_Toc27537"/>
      <w:bookmarkStart w:id="230" w:name="_Toc19894"/>
      <w:r>
        <w:rPr>
          <w:rFonts w:hint="eastAsia" w:ascii="仿宋" w:hAnsi="仿宋" w:eastAsia="仿宋" w:cs="仿宋"/>
          <w:b/>
          <w:bCs/>
          <w:color w:val="000000"/>
          <w:sz w:val="28"/>
          <w:szCs w:val="28"/>
        </w:rPr>
        <w:t>供应商名称 ：</w:t>
      </w:r>
      <w:bookmarkEnd w:id="229"/>
      <w:bookmarkEnd w:id="230"/>
    </w:p>
    <w:p w14:paraId="6EBC3A7D">
      <w:pPr>
        <w:pStyle w:val="28"/>
        <w:spacing w:before="0" w:after="0"/>
        <w:ind w:firstLine="843" w:firstLineChars="300"/>
        <w:rPr>
          <w:rFonts w:ascii="仿宋" w:hAnsi="仿宋" w:eastAsia="仿宋" w:cs="仿宋"/>
          <w:b/>
          <w:bCs/>
          <w:color w:val="000000"/>
          <w:sz w:val="28"/>
          <w:szCs w:val="28"/>
        </w:rPr>
      </w:pPr>
      <w:bookmarkStart w:id="231" w:name="_Toc5222"/>
      <w:bookmarkStart w:id="232" w:name="_Toc14028"/>
      <w:r>
        <w:rPr>
          <w:rFonts w:hint="eastAsia" w:ascii="仿宋" w:hAnsi="仿宋" w:eastAsia="仿宋" w:cs="仿宋"/>
          <w:b/>
          <w:bCs/>
          <w:color w:val="000000"/>
          <w:sz w:val="28"/>
          <w:szCs w:val="28"/>
        </w:rPr>
        <w:t>授权代表 ：</w:t>
      </w:r>
      <w:bookmarkEnd w:id="231"/>
      <w:bookmarkEnd w:id="232"/>
    </w:p>
    <w:p w14:paraId="6F9D7F58">
      <w:pPr>
        <w:pStyle w:val="28"/>
        <w:spacing w:before="0" w:after="0"/>
        <w:ind w:firstLine="843" w:firstLineChars="300"/>
        <w:rPr>
          <w:rFonts w:ascii="仿宋" w:hAnsi="仿宋" w:eastAsia="仿宋" w:cs="仿宋"/>
          <w:color w:val="000000"/>
        </w:rPr>
      </w:pPr>
      <w:bookmarkStart w:id="233" w:name="_Toc16453"/>
      <w:bookmarkStart w:id="234" w:name="_Toc28"/>
      <w:r>
        <w:rPr>
          <w:rFonts w:hint="eastAsia" w:ascii="仿宋" w:hAnsi="仿宋" w:eastAsia="仿宋" w:cs="仿宋"/>
          <w:b/>
          <w:bCs/>
          <w:color w:val="000000"/>
          <w:sz w:val="28"/>
          <w:szCs w:val="28"/>
        </w:rPr>
        <w:t>日      期 ：</w:t>
      </w:r>
      <w:bookmarkEnd w:id="233"/>
      <w:bookmarkEnd w:id="234"/>
    </w:p>
    <w:p w14:paraId="621E82D9">
      <w:pPr>
        <w:spacing w:line="360" w:lineRule="auto"/>
        <w:jc w:val="center"/>
        <w:rPr>
          <w:rFonts w:ascii="仿宋" w:hAnsi="仿宋" w:eastAsia="仿宋" w:cs="仿宋"/>
          <w:b/>
          <w:bCs/>
          <w:color w:val="000000"/>
          <w:sz w:val="28"/>
          <w:szCs w:val="28"/>
        </w:rPr>
      </w:pPr>
      <w:r>
        <w:rPr>
          <w:rFonts w:hint="eastAsia" w:ascii="仿宋" w:hAnsi="仿宋" w:eastAsia="仿宋" w:cs="仿宋"/>
          <w:b/>
          <w:bCs/>
          <w:color w:val="000000"/>
          <w:sz w:val="36"/>
          <w:szCs w:val="36"/>
          <w:u w:val="single"/>
        </w:rPr>
        <w:br w:type="page"/>
      </w:r>
      <w:bookmarkStart w:id="235" w:name="_Toc9798"/>
      <w:bookmarkStart w:id="236" w:name="_Toc27163"/>
      <w:r>
        <w:rPr>
          <w:rFonts w:hint="eastAsia" w:ascii="仿宋" w:hAnsi="仿宋" w:eastAsia="仿宋" w:cs="仿宋"/>
          <w:b/>
          <w:bCs/>
          <w:color w:val="000000"/>
          <w:sz w:val="28"/>
          <w:szCs w:val="28"/>
        </w:rPr>
        <w:t>资格性和符合性检查响应对照表</w:t>
      </w:r>
      <w:bookmarkEnd w:id="235"/>
      <w:bookmarkEnd w:id="236"/>
    </w:p>
    <w:tbl>
      <w:tblPr>
        <w:tblStyle w:val="20"/>
        <w:tblW w:w="9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280"/>
        <w:gridCol w:w="1789"/>
        <w:gridCol w:w="32"/>
        <w:gridCol w:w="1565"/>
      </w:tblGrid>
      <w:tr w14:paraId="0A0D5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21" w:type="dxa"/>
            <w:vAlign w:val="center"/>
          </w:tcPr>
          <w:p w14:paraId="2A21FB67">
            <w:pPr>
              <w:snapToGrid w:val="0"/>
              <w:spacing w:line="0" w:lineRule="atLeast"/>
              <w:jc w:val="center"/>
              <w:rPr>
                <w:rFonts w:ascii="仿宋" w:hAnsi="仿宋" w:eastAsia="仿宋" w:cs="仿宋"/>
                <w:b/>
                <w:bCs/>
                <w:color w:val="000000"/>
                <w:sz w:val="24"/>
                <w:szCs w:val="24"/>
              </w:rPr>
            </w:pPr>
            <w:r>
              <w:rPr>
                <w:rFonts w:hint="eastAsia" w:ascii="仿宋" w:hAnsi="仿宋" w:eastAsia="仿宋" w:cs="仿宋"/>
                <w:b/>
                <w:bCs/>
                <w:color w:val="000000"/>
                <w:sz w:val="24"/>
                <w:szCs w:val="24"/>
              </w:rPr>
              <w:t>序号</w:t>
            </w:r>
          </w:p>
        </w:tc>
        <w:tc>
          <w:tcPr>
            <w:tcW w:w="5280" w:type="dxa"/>
            <w:vAlign w:val="center"/>
          </w:tcPr>
          <w:p w14:paraId="3A958AF5">
            <w:pPr>
              <w:snapToGrid w:val="0"/>
              <w:spacing w:line="0" w:lineRule="atLeast"/>
              <w:jc w:val="center"/>
              <w:rPr>
                <w:rFonts w:ascii="仿宋" w:hAnsi="仿宋" w:eastAsia="仿宋" w:cs="仿宋"/>
                <w:b/>
                <w:bCs/>
                <w:color w:val="000000"/>
                <w:sz w:val="24"/>
                <w:szCs w:val="24"/>
              </w:rPr>
            </w:pPr>
            <w:r>
              <w:rPr>
                <w:rFonts w:hint="eastAsia" w:ascii="仿宋" w:hAnsi="仿宋" w:eastAsia="仿宋" w:cs="仿宋"/>
                <w:b/>
                <w:bCs/>
                <w:color w:val="000000"/>
                <w:sz w:val="24"/>
                <w:szCs w:val="24"/>
              </w:rPr>
              <w:t>资格和符合性检查响应内容</w:t>
            </w:r>
          </w:p>
        </w:tc>
        <w:tc>
          <w:tcPr>
            <w:tcW w:w="1821" w:type="dxa"/>
            <w:gridSpan w:val="2"/>
            <w:vAlign w:val="center"/>
          </w:tcPr>
          <w:p w14:paraId="476458BE">
            <w:pPr>
              <w:snapToGrid w:val="0"/>
              <w:spacing w:line="0" w:lineRule="atLeast"/>
              <w:jc w:val="center"/>
              <w:rPr>
                <w:rFonts w:ascii="仿宋" w:hAnsi="仿宋" w:eastAsia="仿宋" w:cs="仿宋"/>
                <w:b/>
                <w:bCs/>
                <w:color w:val="000000"/>
                <w:sz w:val="24"/>
                <w:szCs w:val="24"/>
              </w:rPr>
            </w:pPr>
            <w:r>
              <w:rPr>
                <w:rFonts w:hint="eastAsia" w:ascii="仿宋" w:hAnsi="仿宋" w:eastAsia="仿宋" w:cs="仿宋"/>
                <w:b/>
                <w:bCs/>
                <w:color w:val="000000"/>
                <w:sz w:val="24"/>
                <w:szCs w:val="24"/>
              </w:rPr>
              <w:t>是否响应</w:t>
            </w:r>
          </w:p>
          <w:p w14:paraId="1D014B30">
            <w:pPr>
              <w:snapToGrid w:val="0"/>
              <w:spacing w:line="0" w:lineRule="atLeast"/>
              <w:jc w:val="center"/>
              <w:rPr>
                <w:rFonts w:ascii="仿宋" w:hAnsi="仿宋" w:eastAsia="仿宋" w:cs="仿宋"/>
                <w:b/>
                <w:bCs/>
                <w:color w:val="000000"/>
                <w:sz w:val="24"/>
                <w:szCs w:val="24"/>
              </w:rPr>
            </w:pPr>
            <w:r>
              <w:rPr>
                <w:rFonts w:hint="eastAsia" w:ascii="仿宋" w:hAnsi="仿宋" w:eastAsia="仿宋" w:cs="仿宋"/>
                <w:b/>
                <w:bCs/>
                <w:color w:val="000000"/>
                <w:sz w:val="24"/>
                <w:szCs w:val="24"/>
              </w:rPr>
              <w:t>（填是或者否）</w:t>
            </w:r>
          </w:p>
        </w:tc>
        <w:tc>
          <w:tcPr>
            <w:tcW w:w="1565" w:type="dxa"/>
            <w:vAlign w:val="center"/>
          </w:tcPr>
          <w:p w14:paraId="012BAA39">
            <w:pPr>
              <w:snapToGrid w:val="0"/>
              <w:spacing w:line="0" w:lineRule="atLeast"/>
              <w:jc w:val="center"/>
              <w:rPr>
                <w:rFonts w:ascii="仿宋" w:hAnsi="仿宋" w:eastAsia="仿宋" w:cs="仿宋"/>
                <w:b/>
                <w:bCs/>
                <w:color w:val="000000"/>
                <w:sz w:val="24"/>
                <w:szCs w:val="24"/>
              </w:rPr>
            </w:pPr>
            <w:r>
              <w:rPr>
                <w:rFonts w:hint="eastAsia" w:ascii="仿宋" w:hAnsi="仿宋" w:eastAsia="仿宋" w:cs="仿宋"/>
                <w:b/>
                <w:bCs/>
                <w:color w:val="000000"/>
                <w:sz w:val="24"/>
                <w:szCs w:val="24"/>
              </w:rPr>
              <w:t>响应文件中的页码位置</w:t>
            </w:r>
          </w:p>
        </w:tc>
      </w:tr>
      <w:tr w14:paraId="4663E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387" w:type="dxa"/>
            <w:gridSpan w:val="5"/>
            <w:vAlign w:val="center"/>
          </w:tcPr>
          <w:p w14:paraId="6915F33E">
            <w:pPr>
              <w:snapToGrid w:val="0"/>
              <w:spacing w:line="0" w:lineRule="atLeast"/>
              <w:jc w:val="center"/>
              <w:rPr>
                <w:rFonts w:ascii="仿宋" w:hAnsi="仿宋" w:eastAsia="仿宋" w:cs="仿宋"/>
                <w:b/>
                <w:bCs/>
                <w:color w:val="000000"/>
                <w:sz w:val="24"/>
                <w:szCs w:val="24"/>
              </w:rPr>
            </w:pPr>
            <w:r>
              <w:rPr>
                <w:rFonts w:hint="eastAsia" w:ascii="仿宋" w:hAnsi="仿宋" w:eastAsia="仿宋" w:cs="仿宋"/>
                <w:b/>
                <w:bCs/>
                <w:color w:val="000000"/>
                <w:sz w:val="24"/>
                <w:szCs w:val="24"/>
              </w:rPr>
              <w:t>资格性检查</w:t>
            </w:r>
          </w:p>
        </w:tc>
      </w:tr>
      <w:tr w14:paraId="64015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21" w:type="dxa"/>
            <w:vAlign w:val="center"/>
          </w:tcPr>
          <w:p w14:paraId="6A136608">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5280" w:type="dxa"/>
            <w:vAlign w:val="center"/>
          </w:tcPr>
          <w:p w14:paraId="7117112C">
            <w:pPr>
              <w:snapToGrid w:val="0"/>
              <w:spacing w:line="0" w:lineRule="atLeast"/>
              <w:ind w:firstLine="482" w:firstLineChars="200"/>
              <w:rPr>
                <w:rFonts w:ascii="仿宋" w:hAnsi="仿宋" w:eastAsia="仿宋" w:cs="仿宋"/>
                <w:b/>
                <w:bCs/>
                <w:i/>
                <w:color w:val="000000"/>
                <w:sz w:val="24"/>
                <w:szCs w:val="24"/>
                <w:u w:val="single"/>
              </w:rPr>
            </w:pPr>
            <w:r>
              <w:rPr>
                <w:rFonts w:hint="eastAsia" w:ascii="仿宋" w:hAnsi="仿宋" w:eastAsia="仿宋" w:cs="仿宋"/>
                <w:b/>
                <w:bCs/>
                <w:i/>
                <w:iCs/>
                <w:color w:val="000000"/>
                <w:sz w:val="24"/>
                <w:szCs w:val="24"/>
                <w:u w:val="single"/>
              </w:rPr>
              <w:t>具有独立承担民事责任的能力（提供法人或者其他组织的营业执照复印件并加盖公章，或者自然人的身份证明）；</w:t>
            </w:r>
          </w:p>
        </w:tc>
        <w:tc>
          <w:tcPr>
            <w:tcW w:w="1789" w:type="dxa"/>
            <w:vAlign w:val="center"/>
          </w:tcPr>
          <w:p w14:paraId="05EB015E">
            <w:pPr>
              <w:spacing w:line="0" w:lineRule="atLeast"/>
              <w:rPr>
                <w:rFonts w:ascii="仿宋" w:hAnsi="仿宋" w:eastAsia="仿宋" w:cs="仿宋"/>
                <w:color w:val="000000"/>
                <w:sz w:val="24"/>
                <w:szCs w:val="24"/>
              </w:rPr>
            </w:pPr>
          </w:p>
        </w:tc>
        <w:tc>
          <w:tcPr>
            <w:tcW w:w="1597" w:type="dxa"/>
            <w:gridSpan w:val="2"/>
            <w:vAlign w:val="center"/>
          </w:tcPr>
          <w:p w14:paraId="002B9C05">
            <w:pPr>
              <w:spacing w:line="0" w:lineRule="atLeast"/>
              <w:rPr>
                <w:rFonts w:ascii="仿宋" w:hAnsi="仿宋" w:eastAsia="仿宋" w:cs="仿宋"/>
                <w:color w:val="000000"/>
                <w:sz w:val="24"/>
                <w:szCs w:val="24"/>
              </w:rPr>
            </w:pPr>
          </w:p>
        </w:tc>
      </w:tr>
      <w:tr w14:paraId="4F885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21" w:type="dxa"/>
            <w:vAlign w:val="center"/>
          </w:tcPr>
          <w:p w14:paraId="07DB1B5E">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5280" w:type="dxa"/>
            <w:vAlign w:val="center"/>
          </w:tcPr>
          <w:p w14:paraId="54812350">
            <w:pPr>
              <w:snapToGrid w:val="0"/>
              <w:spacing w:line="0" w:lineRule="atLeast"/>
              <w:ind w:firstLine="482" w:firstLineChars="200"/>
              <w:rPr>
                <w:rFonts w:ascii="仿宋" w:hAnsi="仿宋" w:eastAsia="仿宋" w:cs="仿宋"/>
                <w:b/>
                <w:bCs/>
                <w:i/>
                <w:color w:val="000000"/>
                <w:sz w:val="24"/>
                <w:szCs w:val="24"/>
                <w:u w:val="single"/>
              </w:rPr>
            </w:pPr>
            <w:r>
              <w:rPr>
                <w:rFonts w:hint="eastAsia" w:ascii="仿宋" w:hAnsi="仿宋" w:eastAsia="仿宋" w:cs="仿宋"/>
                <w:b/>
                <w:bCs/>
                <w:i/>
                <w:iCs/>
                <w:color w:val="000000"/>
                <w:sz w:val="24"/>
                <w:szCs w:val="24"/>
                <w:u w:val="single"/>
              </w:rPr>
              <w:t>具有良好的商业信誉和健全的财务会计制度（提供2023年度的财务报告或银行出具的企业资信证明，法人或者其他组织成立未满一年的可提供近半年内任一月的资产负债和利润表）；</w:t>
            </w:r>
          </w:p>
        </w:tc>
        <w:tc>
          <w:tcPr>
            <w:tcW w:w="1789" w:type="dxa"/>
            <w:vAlign w:val="center"/>
          </w:tcPr>
          <w:p w14:paraId="3048BFDB">
            <w:pPr>
              <w:spacing w:line="0" w:lineRule="atLeast"/>
              <w:rPr>
                <w:rFonts w:ascii="仿宋" w:hAnsi="仿宋" w:eastAsia="仿宋" w:cs="仿宋"/>
                <w:color w:val="000000"/>
                <w:sz w:val="24"/>
                <w:szCs w:val="24"/>
              </w:rPr>
            </w:pPr>
          </w:p>
        </w:tc>
        <w:tc>
          <w:tcPr>
            <w:tcW w:w="1597" w:type="dxa"/>
            <w:gridSpan w:val="2"/>
            <w:vAlign w:val="center"/>
          </w:tcPr>
          <w:p w14:paraId="6CBDF23A">
            <w:pPr>
              <w:spacing w:line="0" w:lineRule="atLeast"/>
              <w:rPr>
                <w:rFonts w:ascii="仿宋" w:hAnsi="仿宋" w:eastAsia="仿宋" w:cs="仿宋"/>
                <w:color w:val="000000"/>
                <w:sz w:val="24"/>
                <w:szCs w:val="24"/>
              </w:rPr>
            </w:pPr>
          </w:p>
        </w:tc>
      </w:tr>
      <w:tr w14:paraId="72320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21" w:type="dxa"/>
            <w:vAlign w:val="center"/>
          </w:tcPr>
          <w:p w14:paraId="1A64429C">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5280" w:type="dxa"/>
            <w:vAlign w:val="center"/>
          </w:tcPr>
          <w:p w14:paraId="201B9EA0">
            <w:pPr>
              <w:snapToGrid w:val="0"/>
              <w:spacing w:line="0" w:lineRule="atLeast"/>
              <w:ind w:firstLine="482" w:firstLineChars="200"/>
              <w:rPr>
                <w:rFonts w:ascii="仿宋" w:hAnsi="仿宋" w:eastAsia="仿宋" w:cs="仿宋"/>
                <w:b/>
                <w:i/>
                <w:color w:val="000000"/>
                <w:sz w:val="24"/>
                <w:szCs w:val="24"/>
                <w:u w:val="single"/>
              </w:rPr>
            </w:pPr>
            <w:r>
              <w:rPr>
                <w:rFonts w:hint="eastAsia" w:ascii="仿宋" w:hAnsi="仿宋" w:eastAsia="仿宋" w:cs="仿宋"/>
                <w:b/>
                <w:bCs/>
                <w:i/>
                <w:iCs/>
                <w:color w:val="000000"/>
                <w:sz w:val="24"/>
                <w:szCs w:val="24"/>
                <w:u w:val="single"/>
              </w:rPr>
              <w:t>具有履行合同所必需的设备和专业技术能力（根据项目需求提供履行合同所必需的设备和专业技术能力的证明材料或声明函）；</w:t>
            </w:r>
          </w:p>
        </w:tc>
        <w:tc>
          <w:tcPr>
            <w:tcW w:w="1789" w:type="dxa"/>
            <w:vAlign w:val="center"/>
          </w:tcPr>
          <w:p w14:paraId="228CBC3F">
            <w:pPr>
              <w:spacing w:line="0" w:lineRule="atLeast"/>
              <w:rPr>
                <w:rFonts w:ascii="仿宋" w:hAnsi="仿宋" w:eastAsia="仿宋" w:cs="仿宋"/>
                <w:color w:val="000000"/>
                <w:sz w:val="24"/>
                <w:szCs w:val="24"/>
              </w:rPr>
            </w:pPr>
          </w:p>
        </w:tc>
        <w:tc>
          <w:tcPr>
            <w:tcW w:w="1597" w:type="dxa"/>
            <w:gridSpan w:val="2"/>
            <w:vAlign w:val="center"/>
          </w:tcPr>
          <w:p w14:paraId="4677C94A">
            <w:pPr>
              <w:spacing w:line="0" w:lineRule="atLeast"/>
              <w:rPr>
                <w:rFonts w:ascii="仿宋" w:hAnsi="仿宋" w:eastAsia="仿宋" w:cs="仿宋"/>
                <w:color w:val="000000"/>
                <w:sz w:val="24"/>
                <w:szCs w:val="24"/>
              </w:rPr>
            </w:pPr>
          </w:p>
        </w:tc>
      </w:tr>
      <w:tr w14:paraId="0DB2B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21" w:type="dxa"/>
            <w:vAlign w:val="center"/>
          </w:tcPr>
          <w:p w14:paraId="508677E4">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5280" w:type="dxa"/>
            <w:vAlign w:val="center"/>
          </w:tcPr>
          <w:p w14:paraId="6DAEA58F">
            <w:pPr>
              <w:snapToGrid w:val="0"/>
              <w:spacing w:line="0" w:lineRule="atLeast"/>
              <w:ind w:firstLine="482" w:firstLineChars="200"/>
              <w:rPr>
                <w:rFonts w:ascii="仿宋" w:hAnsi="仿宋" w:eastAsia="仿宋" w:cs="仿宋"/>
                <w:b/>
                <w:i/>
                <w:color w:val="000000"/>
                <w:sz w:val="24"/>
                <w:szCs w:val="24"/>
                <w:u w:val="single"/>
              </w:rPr>
            </w:pPr>
            <w:r>
              <w:rPr>
                <w:rFonts w:hint="eastAsia" w:ascii="仿宋" w:hAnsi="仿宋" w:eastAsia="仿宋" w:cs="仿宋"/>
                <w:b/>
                <w:bCs/>
                <w:i/>
                <w:iCs/>
                <w:color w:val="000000"/>
                <w:sz w:val="24"/>
                <w:szCs w:val="24"/>
                <w:u w:val="single"/>
              </w:rPr>
              <w:t>有依法缴纳税收和社会保障资金的良好记录（提供参加本次采购活动前近六个月内任一月份依法缴纳税收及社会保险的凭据。依法免缴、迟缴的应提供相应文件证明）；</w:t>
            </w:r>
          </w:p>
        </w:tc>
        <w:tc>
          <w:tcPr>
            <w:tcW w:w="1789" w:type="dxa"/>
            <w:vAlign w:val="center"/>
          </w:tcPr>
          <w:p w14:paraId="13C8BE18">
            <w:pPr>
              <w:spacing w:line="0" w:lineRule="atLeast"/>
              <w:rPr>
                <w:rFonts w:ascii="仿宋" w:hAnsi="仿宋" w:eastAsia="仿宋" w:cs="仿宋"/>
                <w:color w:val="000000"/>
                <w:sz w:val="24"/>
                <w:szCs w:val="24"/>
              </w:rPr>
            </w:pPr>
          </w:p>
        </w:tc>
        <w:tc>
          <w:tcPr>
            <w:tcW w:w="1597" w:type="dxa"/>
            <w:gridSpan w:val="2"/>
            <w:vAlign w:val="center"/>
          </w:tcPr>
          <w:p w14:paraId="7D4B30D8">
            <w:pPr>
              <w:spacing w:line="0" w:lineRule="atLeast"/>
              <w:rPr>
                <w:rFonts w:ascii="仿宋" w:hAnsi="仿宋" w:eastAsia="仿宋" w:cs="仿宋"/>
                <w:color w:val="000000"/>
                <w:sz w:val="24"/>
                <w:szCs w:val="24"/>
              </w:rPr>
            </w:pPr>
          </w:p>
        </w:tc>
      </w:tr>
      <w:tr w14:paraId="412A5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721" w:type="dxa"/>
            <w:vAlign w:val="center"/>
          </w:tcPr>
          <w:p w14:paraId="1E0BBF94">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5280" w:type="dxa"/>
            <w:vAlign w:val="center"/>
          </w:tcPr>
          <w:p w14:paraId="7CC85A3C">
            <w:pPr>
              <w:snapToGrid w:val="0"/>
              <w:spacing w:line="0" w:lineRule="atLeast"/>
              <w:ind w:firstLine="482" w:firstLineChars="200"/>
              <w:rPr>
                <w:rFonts w:ascii="仿宋" w:hAnsi="仿宋" w:eastAsia="仿宋" w:cs="仿宋"/>
                <w:b/>
                <w:i/>
                <w:color w:val="000000"/>
                <w:sz w:val="24"/>
                <w:szCs w:val="24"/>
                <w:u w:val="single"/>
              </w:rPr>
            </w:pPr>
            <w:r>
              <w:rPr>
                <w:rFonts w:hint="eastAsia" w:ascii="仿宋" w:hAnsi="仿宋" w:eastAsia="仿宋" w:cs="仿宋"/>
                <w:b/>
                <w:bCs/>
                <w:i/>
                <w:iCs/>
                <w:color w:val="000000"/>
                <w:sz w:val="24"/>
                <w:szCs w:val="24"/>
                <w:u w:val="single"/>
              </w:rPr>
              <w:t>参加本次采购活动前3年内在经营活动中没有重大违法记录（提供参加本次采购活动前3年内在经营活动中没有重大违法记录的书面声明）；</w:t>
            </w:r>
          </w:p>
        </w:tc>
        <w:tc>
          <w:tcPr>
            <w:tcW w:w="1789" w:type="dxa"/>
            <w:vAlign w:val="center"/>
          </w:tcPr>
          <w:p w14:paraId="4D9735F8">
            <w:pPr>
              <w:spacing w:line="0" w:lineRule="atLeast"/>
              <w:rPr>
                <w:rFonts w:ascii="仿宋" w:hAnsi="仿宋" w:eastAsia="仿宋" w:cs="仿宋"/>
                <w:color w:val="000000"/>
                <w:sz w:val="24"/>
                <w:szCs w:val="24"/>
              </w:rPr>
            </w:pPr>
          </w:p>
        </w:tc>
        <w:tc>
          <w:tcPr>
            <w:tcW w:w="1597" w:type="dxa"/>
            <w:gridSpan w:val="2"/>
            <w:vAlign w:val="center"/>
          </w:tcPr>
          <w:p w14:paraId="7606EC9E">
            <w:pPr>
              <w:spacing w:line="0" w:lineRule="atLeast"/>
              <w:rPr>
                <w:rFonts w:ascii="仿宋" w:hAnsi="仿宋" w:eastAsia="仿宋" w:cs="仿宋"/>
                <w:color w:val="000000"/>
                <w:sz w:val="24"/>
                <w:szCs w:val="24"/>
              </w:rPr>
            </w:pPr>
          </w:p>
        </w:tc>
      </w:tr>
      <w:tr w14:paraId="7704B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21" w:type="dxa"/>
            <w:vAlign w:val="center"/>
          </w:tcPr>
          <w:p w14:paraId="63EAF5BB">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6</w:t>
            </w:r>
          </w:p>
        </w:tc>
        <w:tc>
          <w:tcPr>
            <w:tcW w:w="5280" w:type="dxa"/>
            <w:vAlign w:val="center"/>
          </w:tcPr>
          <w:p w14:paraId="2C6569D4">
            <w:pPr>
              <w:snapToGrid w:val="0"/>
              <w:spacing w:line="0" w:lineRule="atLeast"/>
              <w:ind w:firstLine="482" w:firstLineChars="200"/>
              <w:jc w:val="left"/>
              <w:rPr>
                <w:rFonts w:ascii="仿宋" w:hAnsi="仿宋" w:eastAsia="仿宋" w:cs="仿宋"/>
                <w:b/>
                <w:i/>
                <w:color w:val="000000"/>
                <w:sz w:val="24"/>
                <w:szCs w:val="24"/>
                <w:u w:val="single"/>
              </w:rPr>
            </w:pPr>
            <w:r>
              <w:rPr>
                <w:rFonts w:hint="eastAsia" w:ascii="仿宋" w:hAnsi="仿宋" w:eastAsia="仿宋" w:cs="仿宋"/>
                <w:b/>
                <w:bCs/>
                <w:i/>
                <w:iCs/>
                <w:color w:val="000000"/>
                <w:sz w:val="24"/>
                <w:szCs w:val="24"/>
                <w:u w:val="single"/>
              </w:rPr>
              <w:t>在磋商截止日前被“信用中国”网站(www.creditchina.gov.cn)、中国政府采购网(www.ccgp.gov.cn) 列入失信被执行人、重大税收违法案件当事人、政府采购严重违法失信行为记录名单的供应商（提供网页截图）；</w:t>
            </w:r>
          </w:p>
        </w:tc>
        <w:tc>
          <w:tcPr>
            <w:tcW w:w="1789" w:type="dxa"/>
            <w:vAlign w:val="center"/>
          </w:tcPr>
          <w:p w14:paraId="384BC605">
            <w:pPr>
              <w:spacing w:line="0" w:lineRule="atLeast"/>
              <w:rPr>
                <w:rFonts w:ascii="仿宋" w:hAnsi="仿宋" w:eastAsia="仿宋" w:cs="仿宋"/>
                <w:color w:val="000000"/>
                <w:sz w:val="24"/>
                <w:szCs w:val="24"/>
              </w:rPr>
            </w:pPr>
          </w:p>
        </w:tc>
        <w:tc>
          <w:tcPr>
            <w:tcW w:w="1597" w:type="dxa"/>
            <w:gridSpan w:val="2"/>
            <w:vAlign w:val="center"/>
          </w:tcPr>
          <w:p w14:paraId="17198978">
            <w:pPr>
              <w:spacing w:line="0" w:lineRule="atLeast"/>
              <w:rPr>
                <w:rFonts w:ascii="仿宋" w:hAnsi="仿宋" w:eastAsia="仿宋" w:cs="仿宋"/>
                <w:color w:val="000000"/>
                <w:sz w:val="24"/>
                <w:szCs w:val="24"/>
              </w:rPr>
            </w:pPr>
          </w:p>
        </w:tc>
      </w:tr>
      <w:tr w14:paraId="5F7FA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1" w:type="dxa"/>
            <w:vAlign w:val="center"/>
          </w:tcPr>
          <w:p w14:paraId="1A875BEA">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7</w:t>
            </w:r>
          </w:p>
        </w:tc>
        <w:tc>
          <w:tcPr>
            <w:tcW w:w="5280" w:type="dxa"/>
            <w:vAlign w:val="center"/>
          </w:tcPr>
          <w:p w14:paraId="11142BDA">
            <w:pPr>
              <w:snapToGrid w:val="0"/>
              <w:spacing w:line="0" w:lineRule="atLeast"/>
              <w:ind w:firstLine="482" w:firstLineChars="200"/>
              <w:jc w:val="left"/>
              <w:rPr>
                <w:rFonts w:ascii="仿宋" w:hAnsi="仿宋" w:eastAsia="仿宋" w:cs="仿宋"/>
                <w:b/>
                <w:i/>
                <w:color w:val="000000"/>
                <w:sz w:val="24"/>
                <w:szCs w:val="24"/>
                <w:u w:val="single"/>
              </w:rPr>
            </w:pPr>
            <w:r>
              <w:rPr>
                <w:rFonts w:hint="eastAsia" w:ascii="仿宋" w:hAnsi="仿宋" w:eastAsia="仿宋" w:cs="仿宋"/>
                <w:b/>
                <w:bCs/>
                <w:i/>
                <w:iCs/>
                <w:color w:val="000000" w:themeColor="text1"/>
                <w:sz w:val="24"/>
                <w:szCs w:val="24"/>
                <w:u w:val="single"/>
                <w14:textFill>
                  <w14:solidFill>
                    <w14:schemeClr w14:val="tx1"/>
                  </w14:solidFill>
                </w14:textFill>
              </w:rPr>
              <w:t>供应商须为国家密码管理局《商用密码应用安全性评估试点机构目录》内的单位，提供在目录内的证明材料并加盖公章；</w:t>
            </w:r>
          </w:p>
        </w:tc>
        <w:tc>
          <w:tcPr>
            <w:tcW w:w="1789" w:type="dxa"/>
            <w:vAlign w:val="center"/>
          </w:tcPr>
          <w:p w14:paraId="0F3CF2D9">
            <w:pPr>
              <w:spacing w:line="0" w:lineRule="atLeast"/>
              <w:rPr>
                <w:rFonts w:ascii="仿宋" w:hAnsi="仿宋" w:eastAsia="仿宋" w:cs="仿宋"/>
                <w:color w:val="000000"/>
                <w:sz w:val="24"/>
                <w:szCs w:val="24"/>
              </w:rPr>
            </w:pPr>
          </w:p>
        </w:tc>
        <w:tc>
          <w:tcPr>
            <w:tcW w:w="1597" w:type="dxa"/>
            <w:gridSpan w:val="2"/>
            <w:vAlign w:val="center"/>
          </w:tcPr>
          <w:p w14:paraId="75ED6596">
            <w:pPr>
              <w:spacing w:line="0" w:lineRule="atLeast"/>
              <w:rPr>
                <w:rFonts w:ascii="仿宋" w:hAnsi="仿宋" w:eastAsia="仿宋" w:cs="仿宋"/>
                <w:color w:val="000000"/>
                <w:sz w:val="24"/>
                <w:szCs w:val="24"/>
              </w:rPr>
            </w:pPr>
          </w:p>
        </w:tc>
      </w:tr>
      <w:tr w14:paraId="3AF7B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1" w:type="dxa"/>
            <w:vAlign w:val="center"/>
          </w:tcPr>
          <w:p w14:paraId="55C143FD">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8</w:t>
            </w:r>
          </w:p>
        </w:tc>
        <w:tc>
          <w:tcPr>
            <w:tcW w:w="5280" w:type="dxa"/>
            <w:vAlign w:val="center"/>
          </w:tcPr>
          <w:p w14:paraId="2A2DE695">
            <w:pPr>
              <w:snapToGrid w:val="0"/>
              <w:spacing w:line="0" w:lineRule="atLeast"/>
              <w:ind w:firstLine="482" w:firstLineChars="200"/>
              <w:jc w:val="left"/>
              <w:rPr>
                <w:rFonts w:ascii="仿宋" w:hAnsi="仿宋" w:eastAsia="仿宋" w:cs="仿宋"/>
                <w:b/>
                <w:i/>
                <w:color w:val="000000"/>
                <w:sz w:val="24"/>
                <w:szCs w:val="24"/>
                <w:u w:val="single"/>
              </w:rPr>
            </w:pPr>
            <w:r>
              <w:rPr>
                <w:rFonts w:hint="eastAsia" w:ascii="仿宋" w:hAnsi="仿宋" w:eastAsia="仿宋" w:cs="仿宋"/>
                <w:b/>
                <w:i/>
                <w:color w:val="000000"/>
                <w:sz w:val="24"/>
                <w:szCs w:val="24"/>
                <w:u w:val="single"/>
              </w:rPr>
              <w:t>……</w:t>
            </w:r>
          </w:p>
        </w:tc>
        <w:tc>
          <w:tcPr>
            <w:tcW w:w="1789" w:type="dxa"/>
            <w:vAlign w:val="center"/>
          </w:tcPr>
          <w:p w14:paraId="13A27592">
            <w:pPr>
              <w:spacing w:line="0" w:lineRule="atLeast"/>
              <w:rPr>
                <w:rFonts w:ascii="仿宋" w:hAnsi="仿宋" w:eastAsia="仿宋" w:cs="仿宋"/>
                <w:color w:val="000000"/>
                <w:sz w:val="24"/>
                <w:szCs w:val="24"/>
              </w:rPr>
            </w:pPr>
          </w:p>
        </w:tc>
        <w:tc>
          <w:tcPr>
            <w:tcW w:w="1597" w:type="dxa"/>
            <w:gridSpan w:val="2"/>
            <w:vAlign w:val="center"/>
          </w:tcPr>
          <w:p w14:paraId="217A7227">
            <w:pPr>
              <w:spacing w:line="0" w:lineRule="atLeast"/>
              <w:rPr>
                <w:rFonts w:ascii="仿宋" w:hAnsi="仿宋" w:eastAsia="仿宋" w:cs="仿宋"/>
                <w:color w:val="000000"/>
                <w:sz w:val="24"/>
                <w:szCs w:val="24"/>
              </w:rPr>
            </w:pPr>
          </w:p>
        </w:tc>
      </w:tr>
      <w:tr w14:paraId="10E10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7" w:type="dxa"/>
            <w:gridSpan w:val="5"/>
            <w:vAlign w:val="center"/>
          </w:tcPr>
          <w:p w14:paraId="360CCD33">
            <w:pPr>
              <w:spacing w:line="0" w:lineRule="atLeast"/>
              <w:jc w:val="center"/>
              <w:rPr>
                <w:rFonts w:ascii="仿宋" w:hAnsi="仿宋" w:eastAsia="仿宋" w:cs="仿宋"/>
                <w:color w:val="000000"/>
                <w:sz w:val="24"/>
                <w:szCs w:val="24"/>
              </w:rPr>
            </w:pPr>
            <w:r>
              <w:rPr>
                <w:rFonts w:hint="eastAsia" w:ascii="仿宋" w:hAnsi="仿宋" w:eastAsia="仿宋" w:cs="仿宋"/>
                <w:b/>
                <w:bCs/>
                <w:color w:val="000000"/>
                <w:sz w:val="24"/>
                <w:szCs w:val="24"/>
              </w:rPr>
              <w:t>符合性检查</w:t>
            </w:r>
          </w:p>
        </w:tc>
      </w:tr>
      <w:tr w14:paraId="19BCD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7959E390">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5280" w:type="dxa"/>
            <w:vAlign w:val="center"/>
          </w:tcPr>
          <w:p w14:paraId="49662599">
            <w:pPr>
              <w:snapToGrid w:val="0"/>
              <w:spacing w:line="0" w:lineRule="atLeast"/>
              <w:ind w:firstLine="482" w:firstLineChars="200"/>
              <w:jc w:val="left"/>
              <w:rPr>
                <w:rFonts w:ascii="仿宋" w:hAnsi="仿宋" w:eastAsia="仿宋" w:cs="仿宋"/>
                <w:b/>
                <w:i/>
                <w:sz w:val="24"/>
                <w:szCs w:val="24"/>
                <w:u w:val="single"/>
              </w:rPr>
            </w:pPr>
            <w:r>
              <w:rPr>
                <w:rFonts w:hint="eastAsia" w:ascii="仿宋" w:hAnsi="仿宋" w:eastAsia="仿宋" w:cs="仿宋"/>
                <w:b/>
                <w:bCs/>
                <w:i/>
                <w:iCs/>
                <w:color w:val="000000"/>
                <w:sz w:val="24"/>
                <w:szCs w:val="24"/>
                <w:u w:val="single"/>
              </w:rPr>
              <w:t>响应文件份数；</w:t>
            </w:r>
          </w:p>
        </w:tc>
        <w:tc>
          <w:tcPr>
            <w:tcW w:w="1789" w:type="dxa"/>
            <w:vAlign w:val="center"/>
          </w:tcPr>
          <w:p w14:paraId="5F973C80">
            <w:pPr>
              <w:spacing w:line="0" w:lineRule="atLeast"/>
              <w:rPr>
                <w:rFonts w:ascii="仿宋" w:hAnsi="仿宋" w:eastAsia="仿宋" w:cs="仿宋"/>
                <w:color w:val="000000"/>
                <w:sz w:val="24"/>
                <w:szCs w:val="24"/>
              </w:rPr>
            </w:pPr>
          </w:p>
        </w:tc>
        <w:tc>
          <w:tcPr>
            <w:tcW w:w="1597" w:type="dxa"/>
            <w:gridSpan w:val="2"/>
            <w:vAlign w:val="center"/>
          </w:tcPr>
          <w:p w14:paraId="7E13DFAF">
            <w:pPr>
              <w:spacing w:line="0" w:lineRule="atLeast"/>
              <w:rPr>
                <w:rFonts w:ascii="仿宋" w:hAnsi="仿宋" w:eastAsia="仿宋" w:cs="仿宋"/>
                <w:color w:val="000000"/>
                <w:sz w:val="24"/>
                <w:szCs w:val="24"/>
              </w:rPr>
            </w:pPr>
          </w:p>
        </w:tc>
      </w:tr>
      <w:tr w14:paraId="3DD2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1BE85741">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5280" w:type="dxa"/>
            <w:vAlign w:val="center"/>
          </w:tcPr>
          <w:p w14:paraId="3D6983FC">
            <w:pPr>
              <w:snapToGrid w:val="0"/>
              <w:spacing w:line="0" w:lineRule="atLeast"/>
              <w:ind w:firstLine="482" w:firstLineChars="200"/>
              <w:jc w:val="left"/>
              <w:rPr>
                <w:rFonts w:ascii="仿宋" w:hAnsi="仿宋" w:eastAsia="仿宋" w:cs="仿宋"/>
                <w:b/>
                <w:i/>
                <w:sz w:val="24"/>
                <w:szCs w:val="24"/>
                <w:u w:val="single"/>
              </w:rPr>
            </w:pPr>
            <w:r>
              <w:rPr>
                <w:rFonts w:hint="eastAsia" w:ascii="仿宋" w:hAnsi="仿宋" w:eastAsia="仿宋" w:cs="仿宋"/>
                <w:b/>
                <w:i/>
                <w:sz w:val="24"/>
                <w:szCs w:val="24"/>
                <w:u w:val="single"/>
              </w:rPr>
              <w:t>服务要求响应表</w:t>
            </w:r>
            <w:r>
              <w:rPr>
                <w:rFonts w:hint="eastAsia" w:ascii="仿宋" w:hAnsi="仿宋" w:eastAsia="仿宋" w:cs="仿宋"/>
                <w:b/>
                <w:bCs/>
                <w:i/>
                <w:iCs/>
                <w:color w:val="000000"/>
                <w:sz w:val="24"/>
                <w:szCs w:val="24"/>
                <w:u w:val="single"/>
              </w:rPr>
              <w:t>；</w:t>
            </w:r>
          </w:p>
        </w:tc>
        <w:tc>
          <w:tcPr>
            <w:tcW w:w="1789" w:type="dxa"/>
            <w:vAlign w:val="center"/>
          </w:tcPr>
          <w:p w14:paraId="7CEA05A0">
            <w:pPr>
              <w:spacing w:line="0" w:lineRule="atLeast"/>
              <w:rPr>
                <w:rFonts w:ascii="仿宋" w:hAnsi="仿宋" w:eastAsia="仿宋" w:cs="仿宋"/>
                <w:color w:val="000000"/>
                <w:sz w:val="24"/>
                <w:szCs w:val="24"/>
              </w:rPr>
            </w:pPr>
          </w:p>
        </w:tc>
        <w:tc>
          <w:tcPr>
            <w:tcW w:w="1597" w:type="dxa"/>
            <w:gridSpan w:val="2"/>
            <w:vAlign w:val="center"/>
          </w:tcPr>
          <w:p w14:paraId="438E917A">
            <w:pPr>
              <w:spacing w:line="0" w:lineRule="atLeast"/>
              <w:rPr>
                <w:rFonts w:ascii="仿宋" w:hAnsi="仿宋" w:eastAsia="仿宋" w:cs="仿宋"/>
                <w:color w:val="000000"/>
                <w:sz w:val="24"/>
                <w:szCs w:val="24"/>
              </w:rPr>
            </w:pPr>
          </w:p>
        </w:tc>
      </w:tr>
      <w:tr w14:paraId="268B3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51BA1263">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5280" w:type="dxa"/>
            <w:vAlign w:val="center"/>
          </w:tcPr>
          <w:p w14:paraId="191EF9F1">
            <w:pPr>
              <w:snapToGrid w:val="0"/>
              <w:spacing w:line="0" w:lineRule="atLeast"/>
              <w:ind w:firstLine="482" w:firstLineChars="200"/>
              <w:jc w:val="left"/>
              <w:rPr>
                <w:rFonts w:ascii="仿宋" w:hAnsi="仿宋" w:eastAsia="仿宋" w:cs="仿宋"/>
                <w:b/>
                <w:i/>
                <w:sz w:val="24"/>
                <w:szCs w:val="24"/>
                <w:u w:val="single"/>
              </w:rPr>
            </w:pPr>
            <w:r>
              <w:rPr>
                <w:rFonts w:hint="eastAsia" w:ascii="仿宋" w:hAnsi="仿宋" w:eastAsia="仿宋" w:cs="仿宋"/>
                <w:b/>
                <w:i/>
                <w:sz w:val="24"/>
                <w:szCs w:val="24"/>
                <w:u w:val="single"/>
              </w:rPr>
              <w:t>商务要求响应表</w:t>
            </w:r>
            <w:r>
              <w:rPr>
                <w:rFonts w:hint="eastAsia" w:ascii="仿宋" w:hAnsi="仿宋" w:eastAsia="仿宋" w:cs="仿宋"/>
                <w:b/>
                <w:bCs/>
                <w:i/>
                <w:iCs/>
                <w:color w:val="000000"/>
                <w:sz w:val="24"/>
                <w:szCs w:val="24"/>
                <w:u w:val="single"/>
              </w:rPr>
              <w:t>；</w:t>
            </w:r>
          </w:p>
        </w:tc>
        <w:tc>
          <w:tcPr>
            <w:tcW w:w="1789" w:type="dxa"/>
            <w:vAlign w:val="center"/>
          </w:tcPr>
          <w:p w14:paraId="689FFB5F">
            <w:pPr>
              <w:spacing w:line="0" w:lineRule="atLeast"/>
              <w:rPr>
                <w:rFonts w:ascii="仿宋" w:hAnsi="仿宋" w:eastAsia="仿宋" w:cs="仿宋"/>
                <w:color w:val="000000"/>
                <w:sz w:val="24"/>
                <w:szCs w:val="24"/>
              </w:rPr>
            </w:pPr>
          </w:p>
        </w:tc>
        <w:tc>
          <w:tcPr>
            <w:tcW w:w="1597" w:type="dxa"/>
            <w:gridSpan w:val="2"/>
            <w:vAlign w:val="center"/>
          </w:tcPr>
          <w:p w14:paraId="22E83C8E">
            <w:pPr>
              <w:spacing w:line="0" w:lineRule="atLeast"/>
              <w:rPr>
                <w:rFonts w:ascii="仿宋" w:hAnsi="仿宋" w:eastAsia="仿宋" w:cs="仿宋"/>
                <w:color w:val="000000"/>
                <w:sz w:val="24"/>
                <w:szCs w:val="24"/>
              </w:rPr>
            </w:pPr>
          </w:p>
        </w:tc>
      </w:tr>
      <w:tr w14:paraId="51889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07BB2EFA">
            <w:pPr>
              <w:spacing w:line="0" w:lineRule="atLeast"/>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5280" w:type="dxa"/>
            <w:vAlign w:val="center"/>
          </w:tcPr>
          <w:p w14:paraId="49997FDD">
            <w:pPr>
              <w:snapToGrid w:val="0"/>
              <w:spacing w:line="0" w:lineRule="atLeast"/>
              <w:ind w:firstLine="482" w:firstLineChars="200"/>
              <w:jc w:val="left"/>
              <w:rPr>
                <w:rFonts w:ascii="仿宋" w:hAnsi="仿宋" w:eastAsia="仿宋" w:cs="仿宋"/>
                <w:b/>
                <w:i/>
                <w:sz w:val="24"/>
                <w:szCs w:val="24"/>
                <w:u w:val="single"/>
              </w:rPr>
            </w:pPr>
            <w:r>
              <w:rPr>
                <w:rFonts w:hint="eastAsia" w:ascii="仿宋" w:hAnsi="仿宋" w:eastAsia="仿宋" w:cs="仿宋"/>
                <w:b/>
                <w:bCs/>
                <w:i/>
                <w:iCs/>
                <w:color w:val="000000"/>
                <w:sz w:val="24"/>
                <w:szCs w:val="24"/>
                <w:u w:val="single"/>
              </w:rPr>
              <w:t>磋商函、法人授权委托书；</w:t>
            </w:r>
          </w:p>
        </w:tc>
        <w:tc>
          <w:tcPr>
            <w:tcW w:w="1789" w:type="dxa"/>
            <w:vAlign w:val="center"/>
          </w:tcPr>
          <w:p w14:paraId="6F977E47">
            <w:pPr>
              <w:spacing w:line="0" w:lineRule="atLeast"/>
              <w:rPr>
                <w:rFonts w:ascii="仿宋" w:hAnsi="仿宋" w:eastAsia="仿宋" w:cs="仿宋"/>
                <w:color w:val="000000"/>
                <w:sz w:val="24"/>
                <w:szCs w:val="24"/>
              </w:rPr>
            </w:pPr>
          </w:p>
        </w:tc>
        <w:tc>
          <w:tcPr>
            <w:tcW w:w="1597" w:type="dxa"/>
            <w:gridSpan w:val="2"/>
            <w:vAlign w:val="center"/>
          </w:tcPr>
          <w:p w14:paraId="699534EF">
            <w:pPr>
              <w:spacing w:line="0" w:lineRule="atLeast"/>
              <w:rPr>
                <w:rFonts w:ascii="仿宋" w:hAnsi="仿宋" w:eastAsia="仿宋" w:cs="仿宋"/>
                <w:color w:val="000000"/>
                <w:sz w:val="24"/>
                <w:szCs w:val="24"/>
              </w:rPr>
            </w:pPr>
          </w:p>
        </w:tc>
      </w:tr>
    </w:tbl>
    <w:p w14:paraId="407D6A29">
      <w:pPr>
        <w:spacing w:line="0" w:lineRule="atLeast"/>
        <w:rPr>
          <w:rFonts w:ascii="仿宋" w:hAnsi="仿宋" w:eastAsia="仿宋" w:cs="仿宋"/>
          <w:color w:val="000000"/>
          <w:sz w:val="24"/>
          <w:szCs w:val="24"/>
        </w:rPr>
      </w:pPr>
    </w:p>
    <w:p w14:paraId="79878750">
      <w:pPr>
        <w:spacing w:line="0" w:lineRule="atLeast"/>
        <w:rPr>
          <w:rFonts w:ascii="仿宋" w:hAnsi="仿宋" w:eastAsia="仿宋" w:cs="仿宋"/>
          <w:color w:val="000000"/>
          <w:sz w:val="24"/>
          <w:szCs w:val="24"/>
        </w:rPr>
      </w:pPr>
      <w:r>
        <w:rPr>
          <w:rFonts w:hint="eastAsia" w:ascii="仿宋" w:hAnsi="仿宋" w:eastAsia="仿宋" w:cs="仿宋"/>
          <w:color w:val="000000"/>
          <w:sz w:val="24"/>
          <w:szCs w:val="24"/>
        </w:rPr>
        <w:t>说明：上述所列资格证明文件为必须提供内容，未提供或未提供有效材料的，将不能通过符合性审查。</w:t>
      </w:r>
    </w:p>
    <w:p w14:paraId="07078837">
      <w:pPr>
        <w:spacing w:line="0" w:lineRule="atLeast"/>
        <w:rPr>
          <w:rFonts w:ascii="仿宋" w:hAnsi="仿宋" w:eastAsia="仿宋" w:cs="仿宋"/>
          <w:color w:val="000000"/>
          <w:sz w:val="24"/>
          <w:szCs w:val="24"/>
        </w:rPr>
      </w:pPr>
    </w:p>
    <w:p w14:paraId="15364595">
      <w:pPr>
        <w:spacing w:line="0" w:lineRule="atLeast"/>
        <w:rPr>
          <w:rFonts w:ascii="仿宋" w:hAnsi="仿宋" w:eastAsia="仿宋" w:cs="仿宋"/>
          <w:color w:val="000000"/>
        </w:rPr>
      </w:pPr>
      <w:r>
        <w:rPr>
          <w:rFonts w:hint="eastAsia" w:ascii="仿宋" w:hAnsi="仿宋" w:eastAsia="仿宋" w:cs="仿宋"/>
          <w:color w:val="000000"/>
        </w:rPr>
        <w:br w:type="page"/>
      </w:r>
    </w:p>
    <w:p w14:paraId="40F22864">
      <w:pPr>
        <w:pStyle w:val="28"/>
        <w:spacing w:before="156" w:beforeLines="50" w:after="156" w:afterLines="50"/>
        <w:ind w:firstLine="562"/>
        <w:jc w:val="center"/>
        <w:rPr>
          <w:rFonts w:ascii="仿宋" w:hAnsi="仿宋" w:eastAsia="仿宋" w:cs="仿宋"/>
          <w:b/>
          <w:bCs/>
          <w:color w:val="000000"/>
          <w:sz w:val="28"/>
          <w:szCs w:val="28"/>
        </w:rPr>
      </w:pPr>
      <w:bookmarkStart w:id="237" w:name="_Toc25617"/>
      <w:bookmarkStart w:id="238" w:name="_Toc7302"/>
      <w:r>
        <w:rPr>
          <w:rFonts w:hint="eastAsia" w:ascii="仿宋" w:hAnsi="仿宋" w:eastAsia="仿宋" w:cs="仿宋"/>
          <w:b/>
          <w:bCs/>
          <w:color w:val="000000"/>
          <w:sz w:val="28"/>
          <w:szCs w:val="28"/>
        </w:rPr>
        <w:t>评分索引表</w:t>
      </w:r>
      <w:bookmarkEnd w:id="237"/>
      <w:bookmarkEnd w:id="238"/>
    </w:p>
    <w:tbl>
      <w:tblPr>
        <w:tblStyle w:val="20"/>
        <w:tblW w:w="9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7"/>
        <w:gridCol w:w="3575"/>
      </w:tblGrid>
      <w:tr w14:paraId="74BCD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817" w:type="dxa"/>
            <w:vAlign w:val="center"/>
          </w:tcPr>
          <w:p w14:paraId="29774C07">
            <w:pPr>
              <w:pStyle w:val="31"/>
              <w:spacing w:line="360" w:lineRule="auto"/>
              <w:ind w:firstLine="422"/>
              <w:jc w:val="center"/>
              <w:rPr>
                <w:rFonts w:ascii="仿宋" w:hAnsi="仿宋" w:eastAsia="仿宋" w:cs="仿宋"/>
                <w:b/>
                <w:bCs/>
                <w:color w:val="000000"/>
              </w:rPr>
            </w:pPr>
            <w:r>
              <w:rPr>
                <w:rFonts w:hint="eastAsia" w:ascii="仿宋" w:hAnsi="仿宋" w:eastAsia="仿宋" w:cs="仿宋"/>
                <w:b/>
                <w:bCs/>
                <w:color w:val="000000"/>
              </w:rPr>
              <w:t>评分项目</w:t>
            </w:r>
          </w:p>
        </w:tc>
        <w:tc>
          <w:tcPr>
            <w:tcW w:w="3575" w:type="dxa"/>
            <w:vAlign w:val="center"/>
          </w:tcPr>
          <w:p w14:paraId="20AC7325">
            <w:pPr>
              <w:spacing w:line="360" w:lineRule="auto"/>
              <w:jc w:val="center"/>
              <w:rPr>
                <w:rFonts w:ascii="仿宋" w:hAnsi="仿宋" w:eastAsia="仿宋" w:cs="仿宋"/>
                <w:b/>
                <w:bCs/>
                <w:color w:val="000000"/>
              </w:rPr>
            </w:pPr>
            <w:r>
              <w:rPr>
                <w:rFonts w:hint="eastAsia" w:ascii="仿宋" w:hAnsi="仿宋" w:eastAsia="仿宋" w:cs="仿宋"/>
                <w:b/>
                <w:bCs/>
                <w:color w:val="000000"/>
                <w:kern w:val="0"/>
              </w:rPr>
              <w:t>在磋商文件中的页码位置</w:t>
            </w:r>
          </w:p>
        </w:tc>
      </w:tr>
      <w:tr w14:paraId="69291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817" w:type="dxa"/>
            <w:vAlign w:val="center"/>
          </w:tcPr>
          <w:p w14:paraId="572771AA">
            <w:pPr>
              <w:pStyle w:val="31"/>
              <w:spacing w:line="360" w:lineRule="auto"/>
              <w:ind w:firstLine="422"/>
              <w:rPr>
                <w:rFonts w:ascii="仿宋" w:hAnsi="仿宋" w:eastAsia="仿宋" w:cs="仿宋"/>
                <w:b/>
                <w:bCs/>
                <w:color w:val="000000"/>
              </w:rPr>
            </w:pPr>
          </w:p>
        </w:tc>
        <w:tc>
          <w:tcPr>
            <w:tcW w:w="3575" w:type="dxa"/>
            <w:vAlign w:val="center"/>
          </w:tcPr>
          <w:p w14:paraId="561E8E2B">
            <w:pPr>
              <w:spacing w:line="360" w:lineRule="auto"/>
              <w:rPr>
                <w:rFonts w:ascii="仿宋" w:hAnsi="仿宋" w:eastAsia="仿宋" w:cs="仿宋"/>
                <w:b/>
                <w:bCs/>
                <w:color w:val="000000"/>
                <w:kern w:val="0"/>
              </w:rPr>
            </w:pPr>
          </w:p>
        </w:tc>
      </w:tr>
      <w:tr w14:paraId="6E700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392" w:type="dxa"/>
            <w:gridSpan w:val="2"/>
            <w:vAlign w:val="center"/>
          </w:tcPr>
          <w:p w14:paraId="285ADE78">
            <w:pPr>
              <w:pStyle w:val="31"/>
              <w:spacing w:line="360" w:lineRule="auto"/>
              <w:rPr>
                <w:rFonts w:ascii="仿宋" w:hAnsi="仿宋" w:eastAsia="仿宋" w:cs="仿宋"/>
                <w:color w:val="000000"/>
              </w:rPr>
            </w:pPr>
          </w:p>
        </w:tc>
      </w:tr>
      <w:tr w14:paraId="25B25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14:paraId="7D6C2BCC">
            <w:pPr>
              <w:pStyle w:val="31"/>
              <w:spacing w:line="360" w:lineRule="auto"/>
              <w:rPr>
                <w:rFonts w:ascii="仿宋" w:hAnsi="仿宋" w:eastAsia="仿宋" w:cs="仿宋"/>
                <w:color w:val="000000"/>
              </w:rPr>
            </w:pPr>
          </w:p>
        </w:tc>
        <w:tc>
          <w:tcPr>
            <w:tcW w:w="3575" w:type="dxa"/>
            <w:vAlign w:val="center"/>
          </w:tcPr>
          <w:p w14:paraId="7FF0C7C4">
            <w:pPr>
              <w:spacing w:line="360" w:lineRule="auto"/>
              <w:rPr>
                <w:rFonts w:ascii="仿宋" w:hAnsi="仿宋" w:eastAsia="仿宋" w:cs="仿宋"/>
                <w:color w:val="000000"/>
              </w:rPr>
            </w:pPr>
          </w:p>
        </w:tc>
      </w:tr>
      <w:tr w14:paraId="65FF8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2D035316">
            <w:pPr>
              <w:pStyle w:val="31"/>
              <w:spacing w:line="360" w:lineRule="auto"/>
              <w:rPr>
                <w:rFonts w:ascii="仿宋" w:hAnsi="仿宋" w:eastAsia="仿宋" w:cs="仿宋"/>
                <w:color w:val="000000"/>
              </w:rPr>
            </w:pPr>
          </w:p>
        </w:tc>
        <w:tc>
          <w:tcPr>
            <w:tcW w:w="3575" w:type="dxa"/>
            <w:vAlign w:val="center"/>
          </w:tcPr>
          <w:p w14:paraId="34740C36">
            <w:pPr>
              <w:spacing w:line="360" w:lineRule="auto"/>
              <w:rPr>
                <w:rFonts w:ascii="仿宋" w:hAnsi="仿宋" w:eastAsia="仿宋" w:cs="仿宋"/>
                <w:color w:val="000000"/>
              </w:rPr>
            </w:pPr>
          </w:p>
        </w:tc>
      </w:tr>
      <w:tr w14:paraId="26531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817" w:type="dxa"/>
            <w:vAlign w:val="center"/>
          </w:tcPr>
          <w:p w14:paraId="6E6D5D58">
            <w:pPr>
              <w:pStyle w:val="31"/>
              <w:spacing w:line="360" w:lineRule="auto"/>
              <w:rPr>
                <w:rFonts w:ascii="仿宋" w:hAnsi="仿宋" w:eastAsia="仿宋" w:cs="仿宋"/>
                <w:color w:val="000000"/>
              </w:rPr>
            </w:pPr>
          </w:p>
        </w:tc>
        <w:tc>
          <w:tcPr>
            <w:tcW w:w="3575" w:type="dxa"/>
            <w:vAlign w:val="center"/>
          </w:tcPr>
          <w:p w14:paraId="10BF89DB">
            <w:pPr>
              <w:spacing w:line="360" w:lineRule="auto"/>
              <w:rPr>
                <w:rFonts w:ascii="仿宋" w:hAnsi="仿宋" w:eastAsia="仿宋" w:cs="仿宋"/>
                <w:color w:val="000000"/>
              </w:rPr>
            </w:pPr>
          </w:p>
        </w:tc>
      </w:tr>
      <w:tr w14:paraId="3D6BA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817" w:type="dxa"/>
            <w:vAlign w:val="center"/>
          </w:tcPr>
          <w:p w14:paraId="59D0524B">
            <w:pPr>
              <w:pStyle w:val="31"/>
              <w:spacing w:line="360" w:lineRule="auto"/>
              <w:rPr>
                <w:rFonts w:ascii="仿宋" w:hAnsi="仿宋" w:eastAsia="仿宋" w:cs="仿宋"/>
                <w:color w:val="000000"/>
              </w:rPr>
            </w:pPr>
          </w:p>
        </w:tc>
        <w:tc>
          <w:tcPr>
            <w:tcW w:w="3575" w:type="dxa"/>
            <w:vAlign w:val="center"/>
          </w:tcPr>
          <w:p w14:paraId="4DAF1424">
            <w:pPr>
              <w:spacing w:line="360" w:lineRule="auto"/>
              <w:rPr>
                <w:rFonts w:ascii="仿宋" w:hAnsi="仿宋" w:eastAsia="仿宋" w:cs="仿宋"/>
                <w:color w:val="000000"/>
              </w:rPr>
            </w:pPr>
          </w:p>
        </w:tc>
      </w:tr>
      <w:tr w14:paraId="37448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533CC337">
            <w:pPr>
              <w:pStyle w:val="31"/>
              <w:spacing w:line="360" w:lineRule="auto"/>
              <w:rPr>
                <w:rFonts w:ascii="仿宋" w:hAnsi="仿宋" w:eastAsia="仿宋" w:cs="仿宋"/>
                <w:color w:val="000000"/>
              </w:rPr>
            </w:pPr>
          </w:p>
        </w:tc>
        <w:tc>
          <w:tcPr>
            <w:tcW w:w="3575" w:type="dxa"/>
            <w:vAlign w:val="center"/>
          </w:tcPr>
          <w:p w14:paraId="2D3DDC9E">
            <w:pPr>
              <w:spacing w:line="360" w:lineRule="auto"/>
              <w:rPr>
                <w:rFonts w:ascii="仿宋" w:hAnsi="仿宋" w:eastAsia="仿宋" w:cs="仿宋"/>
                <w:color w:val="000000"/>
              </w:rPr>
            </w:pPr>
          </w:p>
        </w:tc>
      </w:tr>
      <w:tr w14:paraId="6B5F0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392" w:type="dxa"/>
            <w:gridSpan w:val="2"/>
            <w:vAlign w:val="center"/>
          </w:tcPr>
          <w:p w14:paraId="38368417">
            <w:pPr>
              <w:pStyle w:val="31"/>
              <w:spacing w:line="360" w:lineRule="auto"/>
              <w:rPr>
                <w:rFonts w:ascii="仿宋" w:hAnsi="仿宋" w:eastAsia="仿宋" w:cs="仿宋"/>
                <w:color w:val="000000"/>
              </w:rPr>
            </w:pPr>
          </w:p>
        </w:tc>
      </w:tr>
      <w:tr w14:paraId="0C5FC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817" w:type="dxa"/>
            <w:vAlign w:val="center"/>
          </w:tcPr>
          <w:p w14:paraId="3B910911">
            <w:pPr>
              <w:pStyle w:val="31"/>
              <w:spacing w:line="360" w:lineRule="auto"/>
              <w:rPr>
                <w:rFonts w:ascii="仿宋" w:hAnsi="仿宋" w:eastAsia="仿宋" w:cs="仿宋"/>
                <w:color w:val="000000"/>
              </w:rPr>
            </w:pPr>
          </w:p>
        </w:tc>
        <w:tc>
          <w:tcPr>
            <w:tcW w:w="3575" w:type="dxa"/>
            <w:vAlign w:val="center"/>
          </w:tcPr>
          <w:p w14:paraId="60A25560">
            <w:pPr>
              <w:spacing w:line="360" w:lineRule="auto"/>
              <w:rPr>
                <w:rFonts w:ascii="仿宋" w:hAnsi="仿宋" w:eastAsia="仿宋" w:cs="仿宋"/>
                <w:color w:val="000000"/>
              </w:rPr>
            </w:pPr>
          </w:p>
        </w:tc>
      </w:tr>
      <w:tr w14:paraId="24D3A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3F75D3D1">
            <w:pPr>
              <w:pStyle w:val="31"/>
              <w:spacing w:line="360" w:lineRule="auto"/>
              <w:rPr>
                <w:rFonts w:ascii="仿宋" w:hAnsi="仿宋" w:eastAsia="仿宋" w:cs="仿宋"/>
                <w:color w:val="000000"/>
              </w:rPr>
            </w:pPr>
          </w:p>
        </w:tc>
        <w:tc>
          <w:tcPr>
            <w:tcW w:w="3575" w:type="dxa"/>
            <w:vAlign w:val="center"/>
          </w:tcPr>
          <w:p w14:paraId="17729846">
            <w:pPr>
              <w:spacing w:line="360" w:lineRule="auto"/>
              <w:rPr>
                <w:rFonts w:ascii="仿宋" w:hAnsi="仿宋" w:eastAsia="仿宋" w:cs="仿宋"/>
                <w:color w:val="000000"/>
              </w:rPr>
            </w:pPr>
          </w:p>
        </w:tc>
      </w:tr>
      <w:tr w14:paraId="30642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337D7CBA">
            <w:pPr>
              <w:pStyle w:val="31"/>
              <w:spacing w:line="360" w:lineRule="auto"/>
              <w:rPr>
                <w:rFonts w:ascii="仿宋" w:hAnsi="仿宋" w:eastAsia="仿宋" w:cs="仿宋"/>
                <w:color w:val="000000"/>
              </w:rPr>
            </w:pPr>
          </w:p>
        </w:tc>
        <w:tc>
          <w:tcPr>
            <w:tcW w:w="3575" w:type="dxa"/>
            <w:vAlign w:val="center"/>
          </w:tcPr>
          <w:p w14:paraId="3E9348D3">
            <w:pPr>
              <w:spacing w:line="360" w:lineRule="auto"/>
              <w:rPr>
                <w:rFonts w:ascii="仿宋" w:hAnsi="仿宋" w:eastAsia="仿宋" w:cs="仿宋"/>
                <w:color w:val="000000"/>
              </w:rPr>
            </w:pPr>
          </w:p>
        </w:tc>
      </w:tr>
      <w:tr w14:paraId="689F6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3990E3BE">
            <w:pPr>
              <w:pStyle w:val="31"/>
              <w:spacing w:line="360" w:lineRule="auto"/>
              <w:rPr>
                <w:rFonts w:ascii="仿宋" w:hAnsi="仿宋" w:eastAsia="仿宋" w:cs="仿宋"/>
                <w:color w:val="000000"/>
              </w:rPr>
            </w:pPr>
          </w:p>
        </w:tc>
        <w:tc>
          <w:tcPr>
            <w:tcW w:w="3575" w:type="dxa"/>
            <w:vAlign w:val="center"/>
          </w:tcPr>
          <w:p w14:paraId="5F1ED0E8">
            <w:pPr>
              <w:spacing w:line="360" w:lineRule="auto"/>
              <w:rPr>
                <w:rFonts w:ascii="仿宋" w:hAnsi="仿宋" w:eastAsia="仿宋" w:cs="仿宋"/>
                <w:color w:val="000000"/>
              </w:rPr>
            </w:pPr>
          </w:p>
        </w:tc>
      </w:tr>
      <w:tr w14:paraId="5B24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6D980F49">
            <w:pPr>
              <w:pStyle w:val="31"/>
              <w:spacing w:line="360" w:lineRule="auto"/>
              <w:rPr>
                <w:rFonts w:ascii="仿宋" w:hAnsi="仿宋" w:eastAsia="仿宋" w:cs="仿宋"/>
                <w:color w:val="000000"/>
              </w:rPr>
            </w:pPr>
          </w:p>
        </w:tc>
        <w:tc>
          <w:tcPr>
            <w:tcW w:w="3575" w:type="dxa"/>
            <w:vAlign w:val="center"/>
          </w:tcPr>
          <w:p w14:paraId="016CB436">
            <w:pPr>
              <w:spacing w:line="360" w:lineRule="auto"/>
              <w:rPr>
                <w:rFonts w:ascii="仿宋" w:hAnsi="仿宋" w:eastAsia="仿宋" w:cs="仿宋"/>
                <w:color w:val="000000"/>
              </w:rPr>
            </w:pPr>
          </w:p>
        </w:tc>
      </w:tr>
      <w:tr w14:paraId="1D6C9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392" w:type="dxa"/>
            <w:gridSpan w:val="2"/>
            <w:vAlign w:val="center"/>
          </w:tcPr>
          <w:p w14:paraId="60C6EACC">
            <w:pPr>
              <w:pStyle w:val="31"/>
              <w:spacing w:line="360" w:lineRule="auto"/>
              <w:ind w:firstLine="422"/>
              <w:rPr>
                <w:rFonts w:ascii="仿宋" w:hAnsi="仿宋" w:eastAsia="仿宋" w:cs="仿宋"/>
                <w:b/>
                <w:bCs/>
                <w:color w:val="000000"/>
              </w:rPr>
            </w:pPr>
          </w:p>
        </w:tc>
      </w:tr>
      <w:tr w14:paraId="2C129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14:paraId="0888D2F7">
            <w:pPr>
              <w:pStyle w:val="31"/>
              <w:spacing w:line="360" w:lineRule="auto"/>
              <w:ind w:firstLine="422"/>
              <w:rPr>
                <w:rFonts w:ascii="仿宋" w:hAnsi="仿宋" w:eastAsia="仿宋" w:cs="仿宋"/>
                <w:b/>
                <w:bCs/>
                <w:color w:val="000000"/>
              </w:rPr>
            </w:pPr>
          </w:p>
        </w:tc>
        <w:tc>
          <w:tcPr>
            <w:tcW w:w="3575" w:type="dxa"/>
            <w:vAlign w:val="center"/>
          </w:tcPr>
          <w:p w14:paraId="032A08BC">
            <w:pPr>
              <w:spacing w:line="360" w:lineRule="auto"/>
              <w:rPr>
                <w:rFonts w:ascii="仿宋" w:hAnsi="仿宋" w:eastAsia="仿宋" w:cs="仿宋"/>
                <w:color w:val="000000"/>
              </w:rPr>
            </w:pPr>
          </w:p>
        </w:tc>
      </w:tr>
      <w:tr w14:paraId="66B05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487DC590">
            <w:pPr>
              <w:pStyle w:val="31"/>
              <w:spacing w:line="360" w:lineRule="auto"/>
              <w:rPr>
                <w:rFonts w:ascii="仿宋" w:hAnsi="仿宋" w:eastAsia="仿宋" w:cs="仿宋"/>
                <w:color w:val="000000"/>
              </w:rPr>
            </w:pPr>
          </w:p>
        </w:tc>
        <w:tc>
          <w:tcPr>
            <w:tcW w:w="3575" w:type="dxa"/>
            <w:vAlign w:val="center"/>
          </w:tcPr>
          <w:p w14:paraId="6F68292C">
            <w:pPr>
              <w:spacing w:line="360" w:lineRule="auto"/>
              <w:rPr>
                <w:rFonts w:ascii="仿宋" w:hAnsi="仿宋" w:eastAsia="仿宋" w:cs="仿宋"/>
                <w:color w:val="000000"/>
              </w:rPr>
            </w:pPr>
          </w:p>
        </w:tc>
      </w:tr>
      <w:tr w14:paraId="65DB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14:paraId="3A9485F5">
            <w:pPr>
              <w:pStyle w:val="31"/>
              <w:spacing w:line="360" w:lineRule="auto"/>
              <w:ind w:firstLine="422"/>
              <w:rPr>
                <w:rFonts w:ascii="仿宋" w:hAnsi="仿宋" w:eastAsia="仿宋" w:cs="仿宋"/>
                <w:b/>
                <w:bCs/>
                <w:color w:val="000000"/>
              </w:rPr>
            </w:pPr>
          </w:p>
        </w:tc>
        <w:tc>
          <w:tcPr>
            <w:tcW w:w="3575" w:type="dxa"/>
            <w:vAlign w:val="center"/>
          </w:tcPr>
          <w:p w14:paraId="655BB564">
            <w:pPr>
              <w:spacing w:line="360" w:lineRule="auto"/>
              <w:rPr>
                <w:rFonts w:ascii="仿宋" w:hAnsi="仿宋" w:eastAsia="仿宋" w:cs="仿宋"/>
                <w:color w:val="000000"/>
              </w:rPr>
            </w:pPr>
          </w:p>
        </w:tc>
      </w:tr>
      <w:tr w14:paraId="42BEE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392" w:type="dxa"/>
            <w:gridSpan w:val="2"/>
            <w:vAlign w:val="center"/>
          </w:tcPr>
          <w:p w14:paraId="661E7C4E">
            <w:pPr>
              <w:pStyle w:val="31"/>
              <w:spacing w:line="360" w:lineRule="auto"/>
              <w:ind w:firstLine="422"/>
              <w:rPr>
                <w:rFonts w:ascii="仿宋" w:hAnsi="仿宋" w:eastAsia="仿宋" w:cs="仿宋"/>
                <w:b/>
                <w:bCs/>
                <w:color w:val="000000"/>
              </w:rPr>
            </w:pPr>
          </w:p>
        </w:tc>
      </w:tr>
      <w:tr w14:paraId="3D964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817" w:type="dxa"/>
            <w:vAlign w:val="center"/>
          </w:tcPr>
          <w:p w14:paraId="63972E6C">
            <w:pPr>
              <w:pStyle w:val="31"/>
              <w:spacing w:line="360" w:lineRule="auto"/>
              <w:rPr>
                <w:rFonts w:ascii="仿宋" w:hAnsi="仿宋" w:eastAsia="仿宋" w:cs="仿宋"/>
                <w:color w:val="000000"/>
              </w:rPr>
            </w:pPr>
          </w:p>
        </w:tc>
        <w:tc>
          <w:tcPr>
            <w:tcW w:w="3575" w:type="dxa"/>
            <w:vAlign w:val="center"/>
          </w:tcPr>
          <w:p w14:paraId="3DF279D7">
            <w:pPr>
              <w:spacing w:line="360" w:lineRule="auto"/>
              <w:rPr>
                <w:rFonts w:ascii="仿宋" w:hAnsi="仿宋" w:eastAsia="仿宋" w:cs="仿宋"/>
                <w:color w:val="000000"/>
              </w:rPr>
            </w:pPr>
          </w:p>
        </w:tc>
      </w:tr>
      <w:tr w14:paraId="22A3F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817" w:type="dxa"/>
            <w:vAlign w:val="center"/>
          </w:tcPr>
          <w:p w14:paraId="544AAF5A">
            <w:pPr>
              <w:pStyle w:val="31"/>
              <w:spacing w:line="360" w:lineRule="auto"/>
              <w:rPr>
                <w:rFonts w:ascii="仿宋" w:hAnsi="仿宋" w:eastAsia="仿宋" w:cs="仿宋"/>
                <w:color w:val="000000"/>
              </w:rPr>
            </w:pPr>
          </w:p>
        </w:tc>
        <w:tc>
          <w:tcPr>
            <w:tcW w:w="3575" w:type="dxa"/>
            <w:vAlign w:val="center"/>
          </w:tcPr>
          <w:p w14:paraId="21547D4F">
            <w:pPr>
              <w:spacing w:line="360" w:lineRule="auto"/>
              <w:rPr>
                <w:rFonts w:ascii="仿宋" w:hAnsi="仿宋" w:eastAsia="仿宋" w:cs="仿宋"/>
                <w:color w:val="000000"/>
              </w:rPr>
            </w:pPr>
          </w:p>
        </w:tc>
      </w:tr>
    </w:tbl>
    <w:p w14:paraId="42179A83">
      <w:pPr>
        <w:spacing w:line="360" w:lineRule="auto"/>
        <w:rPr>
          <w:rFonts w:ascii="仿宋" w:hAnsi="仿宋" w:eastAsia="仿宋" w:cs="仿宋"/>
          <w:color w:val="000000"/>
        </w:rPr>
      </w:pPr>
    </w:p>
    <w:p w14:paraId="001CCE1A">
      <w:pPr>
        <w:pageBreakBefore/>
        <w:spacing w:line="360" w:lineRule="auto"/>
        <w:jc w:val="center"/>
        <w:rPr>
          <w:rFonts w:ascii="仿宋" w:hAnsi="仿宋" w:eastAsia="仿宋" w:cs="仿宋"/>
          <w:b/>
          <w:bCs/>
          <w:color w:val="000000"/>
          <w:kern w:val="0"/>
          <w:sz w:val="28"/>
          <w:szCs w:val="28"/>
        </w:rPr>
      </w:pPr>
      <w:bookmarkStart w:id="239" w:name="_Toc5449"/>
      <w:bookmarkStart w:id="240" w:name="_Toc11631"/>
      <w:r>
        <w:rPr>
          <w:rFonts w:hint="eastAsia" w:ascii="仿宋" w:hAnsi="仿宋" w:eastAsia="仿宋" w:cs="仿宋"/>
          <w:b/>
          <w:bCs/>
          <w:color w:val="000000"/>
          <w:kern w:val="0"/>
          <w:sz w:val="28"/>
          <w:szCs w:val="28"/>
        </w:rPr>
        <w:t>主要文件目录</w:t>
      </w:r>
      <w:bookmarkEnd w:id="239"/>
      <w:bookmarkEnd w:id="240"/>
    </w:p>
    <w:p w14:paraId="32C43564">
      <w:pPr>
        <w:spacing w:line="360" w:lineRule="auto"/>
        <w:ind w:firstLine="120" w:firstLineChars="50"/>
        <w:rPr>
          <w:rFonts w:ascii="仿宋" w:hAnsi="仿宋" w:eastAsia="仿宋" w:cs="仿宋"/>
          <w:color w:val="000000"/>
          <w:sz w:val="24"/>
          <w:szCs w:val="24"/>
        </w:rPr>
      </w:pPr>
      <w:r>
        <w:rPr>
          <w:rFonts w:hint="eastAsia" w:ascii="仿宋" w:hAnsi="仿宋" w:eastAsia="仿宋" w:cs="仿宋"/>
          <w:color w:val="000000"/>
          <w:sz w:val="24"/>
          <w:szCs w:val="24"/>
        </w:rPr>
        <w:t>请供应商编制目录及页码，否则可能将影响对响应文件的评价。</w:t>
      </w:r>
    </w:p>
    <w:p w14:paraId="66FCBC63">
      <w:pPr>
        <w:spacing w:line="360" w:lineRule="auto"/>
        <w:ind w:firstLine="120" w:firstLineChars="50"/>
        <w:rPr>
          <w:rFonts w:ascii="仿宋" w:hAnsi="仿宋" w:eastAsia="仿宋" w:cs="仿宋"/>
          <w:color w:val="000000"/>
          <w:sz w:val="24"/>
          <w:szCs w:val="24"/>
        </w:rPr>
      </w:pPr>
    </w:p>
    <w:p w14:paraId="79886AD1">
      <w:pPr>
        <w:spacing w:line="360" w:lineRule="auto"/>
        <w:rPr>
          <w:rFonts w:ascii="仿宋" w:hAnsi="仿宋" w:eastAsia="仿宋" w:cs="仿宋"/>
          <w:color w:val="000000"/>
        </w:rPr>
      </w:pPr>
    </w:p>
    <w:p w14:paraId="69462AEB">
      <w:pPr>
        <w:spacing w:line="360" w:lineRule="auto"/>
        <w:jc w:val="center"/>
        <w:rPr>
          <w:rFonts w:ascii="仿宋" w:hAnsi="仿宋" w:eastAsia="仿宋" w:cs="仿宋"/>
          <w:color w:val="000000"/>
        </w:rPr>
      </w:pPr>
      <w:r>
        <w:rPr>
          <w:rFonts w:hint="eastAsia" w:ascii="仿宋" w:hAnsi="仿宋" w:eastAsia="仿宋" w:cs="仿宋"/>
          <w:color w:val="000000"/>
        </w:rPr>
        <w:br w:type="page"/>
      </w:r>
      <w:bookmarkStart w:id="241" w:name="_Toc449017027"/>
    </w:p>
    <w:bookmarkEnd w:id="119"/>
    <w:bookmarkEnd w:id="120"/>
    <w:bookmarkEnd w:id="218"/>
    <w:bookmarkEnd w:id="219"/>
    <w:bookmarkEnd w:id="220"/>
    <w:bookmarkEnd w:id="241"/>
    <w:p w14:paraId="4FECA95D">
      <w:pPr>
        <w:pStyle w:val="30"/>
        <w:pageBreakBefore/>
        <w:numPr>
          <w:ilvl w:val="0"/>
          <w:numId w:val="0"/>
        </w:numPr>
        <w:spacing w:line="360" w:lineRule="auto"/>
        <w:jc w:val="center"/>
        <w:outlineLvl w:val="0"/>
        <w:rPr>
          <w:rFonts w:ascii="仿宋" w:hAnsi="仿宋" w:eastAsia="仿宋" w:cs="仿宋"/>
          <w:color w:val="000000"/>
          <w:sz w:val="32"/>
          <w:szCs w:val="32"/>
        </w:rPr>
      </w:pPr>
      <w:bookmarkStart w:id="242" w:name="_Toc25957"/>
      <w:bookmarkStart w:id="243" w:name="_Toc30930"/>
      <w:bookmarkStart w:id="244" w:name="_Toc25170485"/>
      <w:bookmarkStart w:id="245" w:name="_Toc30875"/>
      <w:bookmarkStart w:id="246" w:name="_Toc13187"/>
      <w:bookmarkStart w:id="247" w:name="_Toc27913"/>
      <w:bookmarkStart w:id="248" w:name="_Toc26768"/>
      <w:bookmarkStart w:id="249" w:name="_Toc7573"/>
      <w:bookmarkStart w:id="250" w:name="_Toc31945"/>
      <w:bookmarkStart w:id="251" w:name="_Toc18941"/>
      <w:bookmarkStart w:id="252" w:name="_Toc23252"/>
      <w:bookmarkStart w:id="253" w:name="_Toc28049"/>
      <w:bookmarkStart w:id="254" w:name="_Toc4723"/>
      <w:bookmarkStart w:id="255" w:name="_Toc23635"/>
      <w:bookmarkStart w:id="256" w:name="_Toc13734"/>
      <w:bookmarkStart w:id="257" w:name="_Toc26832"/>
      <w:r>
        <w:rPr>
          <w:rFonts w:hint="eastAsia" w:ascii="仿宋" w:hAnsi="仿宋" w:eastAsia="仿宋" w:cs="仿宋"/>
          <w:color w:val="000000"/>
          <w:sz w:val="32"/>
          <w:szCs w:val="32"/>
        </w:rPr>
        <w:t>一、磋商函</w:t>
      </w:r>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p>
    <w:p w14:paraId="449296BB">
      <w:pPr>
        <w:widowControl/>
        <w:snapToGrid w:val="0"/>
        <w:spacing w:line="360" w:lineRule="auto"/>
        <w:rPr>
          <w:rFonts w:ascii="仿宋" w:hAnsi="仿宋" w:eastAsia="仿宋" w:cs="仿宋"/>
          <w:color w:val="000000"/>
          <w:sz w:val="24"/>
          <w:szCs w:val="24"/>
        </w:rPr>
      </w:pPr>
    </w:p>
    <w:p w14:paraId="3F30AE21">
      <w:pPr>
        <w:widowControl/>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南京达琛鑫工程咨询有限公司：</w:t>
      </w:r>
    </w:p>
    <w:p w14:paraId="6DCA7B60">
      <w:pPr>
        <w:widowControl/>
        <w:snapToGrid w:val="0"/>
        <w:spacing w:line="360" w:lineRule="auto"/>
        <w:ind w:firstLine="480" w:firstLineChars="200"/>
        <w:rPr>
          <w:rFonts w:ascii="仿宋" w:hAnsi="仿宋" w:eastAsia="仿宋" w:cs="仿宋"/>
          <w:b/>
          <w:bCs/>
          <w:color w:val="000000"/>
          <w:sz w:val="24"/>
          <w:szCs w:val="24"/>
        </w:rPr>
      </w:pPr>
      <w:r>
        <w:rPr>
          <w:rFonts w:hint="eastAsia" w:ascii="仿宋" w:hAnsi="仿宋" w:eastAsia="仿宋" w:cs="仿宋"/>
          <w:color w:val="000000"/>
          <w:sz w:val="24"/>
          <w:szCs w:val="24"/>
        </w:rPr>
        <w:t>江苏省高级人民法院密评项目（采购编号为：NJDCX-202406120824）竞争性磋商文件（包括更正公告，如果有的话）收悉，我们经详细审阅和研究，现决定参加磋商。</w:t>
      </w:r>
    </w:p>
    <w:p w14:paraId="6BADFB09">
      <w:pPr>
        <w:widowControl/>
        <w:snapToGrid w:val="0"/>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1、我们郑重承诺：我们是符合《政府采购法》第22条规定的供应商，并严格遵守《政府采购法》第77条的规定，本响应文件中提供的所有材料均是真实有效的。</w:t>
      </w:r>
    </w:p>
    <w:p w14:paraId="3A68BBF9">
      <w:pPr>
        <w:widowControl/>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2、我们接受竞争性磋商文件的所有的条款和规定。</w:t>
      </w:r>
    </w:p>
    <w:p w14:paraId="57C37BAF">
      <w:pPr>
        <w:widowControl/>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3、我们同意按照本竞争性磋商文件第二章“磋商须知”的规定，本响应文件的有效期为从磋商之日起计算的九十天，在此期间，本响应文件将始终对我们具有约束力，并可随时被接受。如果我们成交，本响应文件在此期间之后将继续保持有效。</w:t>
      </w:r>
    </w:p>
    <w:p w14:paraId="0AB730EB">
      <w:pPr>
        <w:widowControl/>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4、我们同意提供采购人要求的有关本次采购的所有资料。</w:t>
      </w:r>
    </w:p>
    <w:p w14:paraId="34126EAD">
      <w:pPr>
        <w:widowControl/>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5、我们理解，你们无义务必须接受磋商报价最低的磋商，并有权拒绝所有的磋商。同时也理解你们不承担我们本次磋商的费用。</w:t>
      </w:r>
    </w:p>
    <w:p w14:paraId="32BA0D77">
      <w:pPr>
        <w:widowControl/>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6、如果我们成交，为执行合同，我们将按供应商须知有关要求提供必要的履约保证。</w:t>
      </w:r>
    </w:p>
    <w:p w14:paraId="3BE18184">
      <w:pPr>
        <w:widowControl/>
        <w:snapToGrid w:val="0"/>
        <w:spacing w:line="360" w:lineRule="auto"/>
        <w:rPr>
          <w:rFonts w:ascii="仿宋" w:hAnsi="仿宋" w:eastAsia="仿宋" w:cs="仿宋"/>
          <w:color w:val="000000"/>
          <w:sz w:val="24"/>
          <w:szCs w:val="24"/>
        </w:rPr>
      </w:pPr>
    </w:p>
    <w:p w14:paraId="5F062BB0">
      <w:pPr>
        <w:widowControl/>
        <w:snapToGrid w:val="0"/>
        <w:spacing w:line="360" w:lineRule="auto"/>
        <w:rPr>
          <w:rFonts w:ascii="仿宋" w:hAnsi="仿宋" w:eastAsia="仿宋" w:cs="仿宋"/>
          <w:color w:val="000000"/>
          <w:sz w:val="24"/>
          <w:szCs w:val="24"/>
        </w:rPr>
      </w:pPr>
    </w:p>
    <w:p w14:paraId="1F233D20">
      <w:pPr>
        <w:widowControl/>
        <w:snapToGrid w:val="0"/>
        <w:spacing w:line="360" w:lineRule="auto"/>
        <w:ind w:left="420" w:leftChars="200"/>
        <w:rPr>
          <w:rFonts w:ascii="仿宋" w:hAnsi="仿宋" w:eastAsia="仿宋" w:cs="仿宋"/>
          <w:color w:val="000000"/>
          <w:sz w:val="24"/>
          <w:szCs w:val="24"/>
        </w:rPr>
      </w:pPr>
      <w:r>
        <w:rPr>
          <w:rFonts w:hint="eastAsia" w:ascii="仿宋" w:hAnsi="仿宋" w:eastAsia="仿宋" w:cs="仿宋"/>
          <w:color w:val="000000"/>
          <w:sz w:val="24"/>
          <w:szCs w:val="24"/>
        </w:rPr>
        <w:t>供应商名称：（公章）</w:t>
      </w:r>
    </w:p>
    <w:p w14:paraId="3412DED1">
      <w:pPr>
        <w:widowControl/>
        <w:snapToGrid w:val="0"/>
        <w:spacing w:line="360" w:lineRule="auto"/>
        <w:ind w:left="420" w:leftChars="200"/>
        <w:rPr>
          <w:rFonts w:ascii="仿宋" w:hAnsi="仿宋" w:eastAsia="仿宋" w:cs="仿宋"/>
          <w:color w:val="000000"/>
          <w:sz w:val="24"/>
          <w:szCs w:val="24"/>
        </w:rPr>
      </w:pPr>
      <w:r>
        <w:rPr>
          <w:rFonts w:hint="eastAsia" w:ascii="仿宋" w:hAnsi="仿宋" w:eastAsia="仿宋" w:cs="仿宋"/>
          <w:color w:val="000000"/>
          <w:sz w:val="24"/>
          <w:szCs w:val="24"/>
        </w:rPr>
        <w:t>地址：                          邮编：</w:t>
      </w:r>
    </w:p>
    <w:p w14:paraId="3E83E5D0">
      <w:pPr>
        <w:widowControl/>
        <w:snapToGrid w:val="0"/>
        <w:spacing w:line="360" w:lineRule="auto"/>
        <w:ind w:left="420" w:leftChars="200"/>
        <w:rPr>
          <w:rFonts w:ascii="仿宋" w:hAnsi="仿宋" w:eastAsia="仿宋" w:cs="仿宋"/>
          <w:color w:val="000000"/>
          <w:sz w:val="24"/>
          <w:szCs w:val="24"/>
        </w:rPr>
      </w:pPr>
      <w:r>
        <w:rPr>
          <w:rFonts w:hint="eastAsia" w:ascii="仿宋" w:hAnsi="仿宋" w:eastAsia="仿宋" w:cs="仿宋"/>
          <w:color w:val="000000"/>
          <w:sz w:val="24"/>
          <w:szCs w:val="24"/>
        </w:rPr>
        <w:t xml:space="preserve">电话：                          传真：          </w:t>
      </w:r>
    </w:p>
    <w:p w14:paraId="102ACB52">
      <w:pPr>
        <w:widowControl/>
        <w:snapToGrid w:val="0"/>
        <w:spacing w:line="360" w:lineRule="auto"/>
        <w:ind w:left="420" w:leftChars="200"/>
        <w:rPr>
          <w:rFonts w:ascii="仿宋" w:hAnsi="仿宋" w:eastAsia="仿宋" w:cs="仿宋"/>
          <w:color w:val="000000"/>
          <w:sz w:val="24"/>
          <w:szCs w:val="24"/>
        </w:rPr>
      </w:pPr>
      <w:r>
        <w:rPr>
          <w:rFonts w:hint="eastAsia" w:ascii="仿宋" w:hAnsi="仿宋" w:eastAsia="仿宋" w:cs="仿宋"/>
          <w:color w:val="000000"/>
          <w:sz w:val="24"/>
          <w:szCs w:val="24"/>
        </w:rPr>
        <w:t xml:space="preserve">法定代表人（授权代表）（签字或盖章）：                   </w:t>
      </w:r>
    </w:p>
    <w:p w14:paraId="3E656F0C">
      <w:pPr>
        <w:widowControl/>
        <w:snapToGrid w:val="0"/>
        <w:spacing w:line="360" w:lineRule="auto"/>
        <w:ind w:left="420" w:leftChars="200"/>
        <w:rPr>
          <w:rFonts w:ascii="仿宋" w:hAnsi="仿宋" w:eastAsia="仿宋" w:cs="仿宋"/>
          <w:color w:val="000000"/>
          <w:sz w:val="24"/>
          <w:szCs w:val="24"/>
        </w:rPr>
      </w:pPr>
      <w:r>
        <w:rPr>
          <w:rFonts w:hint="eastAsia" w:ascii="仿宋" w:hAnsi="仿宋" w:eastAsia="仿宋" w:cs="仿宋"/>
          <w:color w:val="000000"/>
          <w:sz w:val="24"/>
          <w:szCs w:val="24"/>
        </w:rPr>
        <w:t xml:space="preserve">职务：                  </w:t>
      </w:r>
    </w:p>
    <w:p w14:paraId="77ECE029">
      <w:pPr>
        <w:widowControl/>
        <w:snapToGrid w:val="0"/>
        <w:spacing w:line="360" w:lineRule="auto"/>
        <w:ind w:left="420" w:leftChars="200"/>
        <w:rPr>
          <w:rFonts w:ascii="仿宋" w:hAnsi="仿宋" w:eastAsia="仿宋" w:cs="仿宋"/>
          <w:color w:val="000000"/>
          <w:sz w:val="24"/>
          <w:szCs w:val="24"/>
        </w:rPr>
      </w:pPr>
      <w:r>
        <w:rPr>
          <w:rFonts w:hint="eastAsia" w:ascii="仿宋" w:hAnsi="仿宋" w:eastAsia="仿宋" w:cs="仿宋"/>
          <w:color w:val="000000"/>
          <w:sz w:val="24"/>
          <w:szCs w:val="24"/>
        </w:rPr>
        <w:t xml:space="preserve">日期：                  </w:t>
      </w:r>
      <w:bookmarkStart w:id="258" w:name="_Toc27417"/>
      <w:bookmarkStart w:id="259" w:name="_Toc2237"/>
    </w:p>
    <w:p w14:paraId="70149147">
      <w:pPr>
        <w:widowControl/>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br w:type="page"/>
      </w:r>
    </w:p>
    <w:p w14:paraId="02FF783F">
      <w:pPr>
        <w:pStyle w:val="30"/>
        <w:pageBreakBefore/>
        <w:numPr>
          <w:ilvl w:val="0"/>
          <w:numId w:val="0"/>
        </w:numPr>
        <w:spacing w:before="312" w:beforeLines="100" w:after="312" w:afterLines="100" w:line="360" w:lineRule="auto"/>
        <w:jc w:val="center"/>
        <w:outlineLvl w:val="0"/>
        <w:rPr>
          <w:rFonts w:ascii="仿宋" w:hAnsi="仿宋" w:eastAsia="仿宋" w:cs="仿宋"/>
          <w:color w:val="000000"/>
          <w:sz w:val="32"/>
          <w:szCs w:val="32"/>
        </w:rPr>
      </w:pPr>
      <w:bookmarkStart w:id="260" w:name="_Toc27791"/>
      <w:bookmarkStart w:id="261" w:name="_Toc16299"/>
      <w:bookmarkStart w:id="262" w:name="_Toc19856"/>
      <w:bookmarkStart w:id="263" w:name="_Toc13681"/>
      <w:bookmarkStart w:id="264" w:name="_Toc23135"/>
      <w:bookmarkStart w:id="265" w:name="_Toc25170486"/>
      <w:bookmarkStart w:id="266" w:name="_Toc11605"/>
      <w:bookmarkStart w:id="267" w:name="_Toc13930"/>
      <w:bookmarkStart w:id="268" w:name="_Toc10998"/>
      <w:bookmarkStart w:id="269" w:name="_Toc23882"/>
      <w:bookmarkStart w:id="270" w:name="_Toc2491"/>
      <w:bookmarkStart w:id="271" w:name="_Toc31247"/>
      <w:bookmarkStart w:id="272" w:name="_Toc25062"/>
      <w:bookmarkStart w:id="273" w:name="_Toc4674"/>
      <w:r>
        <w:rPr>
          <w:rFonts w:hint="eastAsia" w:ascii="仿宋" w:hAnsi="仿宋" w:eastAsia="仿宋" w:cs="仿宋"/>
          <w:color w:val="000000"/>
          <w:sz w:val="32"/>
          <w:szCs w:val="32"/>
        </w:rPr>
        <w:t>二、报价一览表</w:t>
      </w:r>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p>
    <w:p w14:paraId="31171D62">
      <w:pPr>
        <w:pStyle w:val="32"/>
        <w:spacing w:line="360" w:lineRule="auto"/>
        <w:rPr>
          <w:rFonts w:ascii="仿宋" w:hAnsi="仿宋" w:eastAsia="仿宋" w:cs="仿宋"/>
          <w:color w:val="000000"/>
        </w:rPr>
      </w:pPr>
      <w:r>
        <w:rPr>
          <w:rFonts w:hint="eastAsia" w:ascii="仿宋" w:hAnsi="仿宋" w:eastAsia="仿宋" w:cs="仿宋"/>
          <w:color w:val="000000"/>
        </w:rPr>
        <w:t>窗体顶端</w:t>
      </w:r>
    </w:p>
    <w:tbl>
      <w:tblPr>
        <w:tblStyle w:val="20"/>
        <w:tblpPr w:leftFromText="45" w:rightFromText="45" w:vertAnchor="text"/>
        <w:tblW w:w="9703" w:type="dxa"/>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2453"/>
        <w:gridCol w:w="7250"/>
      </w:tblGrid>
      <w:tr w14:paraId="322EE6E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783" w:hRule="atLeast"/>
          <w:tblCellSpacing w:w="0" w:type="dxa"/>
        </w:trPr>
        <w:tc>
          <w:tcPr>
            <w:tcW w:w="2453" w:type="dxa"/>
            <w:tcBorders>
              <w:top w:val="single" w:color="auto" w:sz="4" w:space="0"/>
              <w:left w:val="single" w:color="000000" w:sz="6" w:space="0"/>
              <w:bottom w:val="single" w:color="auto" w:sz="4" w:space="0"/>
              <w:right w:val="single" w:color="auto" w:sz="4" w:space="0"/>
            </w:tcBorders>
            <w:vAlign w:val="center"/>
          </w:tcPr>
          <w:p w14:paraId="2A8542A4">
            <w:pPr>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项目名称</w:t>
            </w:r>
          </w:p>
        </w:tc>
        <w:tc>
          <w:tcPr>
            <w:tcW w:w="7250" w:type="dxa"/>
            <w:tcBorders>
              <w:top w:val="single" w:color="auto" w:sz="4" w:space="0"/>
              <w:left w:val="single" w:color="auto" w:sz="4" w:space="0"/>
              <w:bottom w:val="single" w:color="auto" w:sz="4" w:space="0"/>
              <w:right w:val="single" w:color="auto" w:sz="4" w:space="0"/>
            </w:tcBorders>
            <w:vAlign w:val="center"/>
          </w:tcPr>
          <w:p w14:paraId="2B0292FE">
            <w:pPr>
              <w:spacing w:line="360" w:lineRule="auto"/>
              <w:jc w:val="center"/>
              <w:rPr>
                <w:rFonts w:ascii="仿宋" w:hAnsi="仿宋" w:eastAsia="仿宋" w:cs="仿宋"/>
                <w:color w:val="000000"/>
              </w:rPr>
            </w:pPr>
            <w:r>
              <w:rPr>
                <w:rFonts w:hint="eastAsia" w:ascii="仿宋" w:hAnsi="仿宋" w:eastAsia="仿宋" w:cs="仿宋"/>
                <w:color w:val="000000"/>
                <w:sz w:val="24"/>
                <w:szCs w:val="24"/>
              </w:rPr>
              <w:t>江苏省高级人民法院密评项目</w:t>
            </w:r>
          </w:p>
        </w:tc>
      </w:tr>
      <w:tr w14:paraId="3B6458C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66"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39794A9B">
            <w:pPr>
              <w:tabs>
                <w:tab w:val="left" w:pos="142"/>
              </w:tabs>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项目编号</w:t>
            </w:r>
          </w:p>
        </w:tc>
        <w:tc>
          <w:tcPr>
            <w:tcW w:w="7250" w:type="dxa"/>
            <w:tcBorders>
              <w:top w:val="single" w:color="auto" w:sz="4" w:space="0"/>
              <w:left w:val="single" w:color="auto" w:sz="4" w:space="0"/>
              <w:bottom w:val="single" w:color="auto" w:sz="4" w:space="0"/>
              <w:right w:val="single" w:color="auto" w:sz="4" w:space="0"/>
            </w:tcBorders>
            <w:vAlign w:val="center"/>
          </w:tcPr>
          <w:p w14:paraId="37F17C01">
            <w:pPr>
              <w:tabs>
                <w:tab w:val="left" w:pos="142"/>
              </w:tabs>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NJDCX-202406120824</w:t>
            </w:r>
          </w:p>
        </w:tc>
      </w:tr>
      <w:tr w14:paraId="24E5401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355"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6A885F87">
            <w:pPr>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总报价</w:t>
            </w:r>
          </w:p>
        </w:tc>
        <w:tc>
          <w:tcPr>
            <w:tcW w:w="7250" w:type="dxa"/>
            <w:tcBorders>
              <w:top w:val="single" w:color="auto" w:sz="4" w:space="0"/>
              <w:left w:val="single" w:color="auto" w:sz="4" w:space="0"/>
              <w:bottom w:val="single" w:color="auto" w:sz="4" w:space="0"/>
              <w:right w:val="single" w:color="auto" w:sz="4" w:space="0"/>
            </w:tcBorders>
            <w:vAlign w:val="center"/>
          </w:tcPr>
          <w:p w14:paraId="3E84D1E6">
            <w:pPr>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w:t>
            </w:r>
            <w:r>
              <w:rPr>
                <w:rFonts w:hint="eastAsia" w:ascii="仿宋" w:hAnsi="仿宋" w:eastAsia="仿宋" w:cs="仿宋"/>
                <w:color w:val="000000"/>
                <w:sz w:val="24"/>
                <w:szCs w:val="24"/>
                <w:u w:val="single"/>
              </w:rPr>
              <w:t> 　　    　</w:t>
            </w:r>
            <w:r>
              <w:rPr>
                <w:rFonts w:hint="eastAsia" w:ascii="仿宋" w:hAnsi="仿宋" w:eastAsia="仿宋" w:cs="仿宋"/>
                <w:color w:val="000000"/>
                <w:sz w:val="24"/>
                <w:szCs w:val="24"/>
              </w:rPr>
              <w:t>元</w:t>
            </w:r>
          </w:p>
          <w:p w14:paraId="2AF59E2E">
            <w:pPr>
              <w:spacing w:line="360" w:lineRule="auto"/>
              <w:ind w:firstLine="1680" w:firstLineChars="700"/>
              <w:rPr>
                <w:rFonts w:ascii="仿宋" w:hAnsi="仿宋" w:eastAsia="仿宋" w:cs="仿宋"/>
                <w:color w:val="000000"/>
                <w:sz w:val="24"/>
                <w:szCs w:val="24"/>
              </w:rPr>
            </w:pPr>
            <w:r>
              <w:rPr>
                <w:rFonts w:hint="eastAsia" w:ascii="仿宋" w:hAnsi="仿宋" w:eastAsia="仿宋" w:cs="仿宋"/>
                <w:color w:val="000000"/>
                <w:sz w:val="24"/>
                <w:szCs w:val="24"/>
              </w:rPr>
              <w:t>人民币 (大写)：</w:t>
            </w:r>
            <w:r>
              <w:rPr>
                <w:rFonts w:hint="eastAsia" w:ascii="仿宋" w:hAnsi="仿宋" w:eastAsia="仿宋" w:cs="仿宋"/>
                <w:color w:val="000000"/>
                <w:sz w:val="24"/>
                <w:szCs w:val="24"/>
                <w:u w:val="single"/>
              </w:rPr>
              <w:t xml:space="preserve">               </w:t>
            </w:r>
          </w:p>
        </w:tc>
      </w:tr>
      <w:tr w14:paraId="696E57D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355"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363B5506">
            <w:pPr>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服务期限</w:t>
            </w:r>
          </w:p>
        </w:tc>
        <w:tc>
          <w:tcPr>
            <w:tcW w:w="7250" w:type="dxa"/>
            <w:tcBorders>
              <w:top w:val="single" w:color="auto" w:sz="4" w:space="0"/>
              <w:left w:val="single" w:color="auto" w:sz="4" w:space="0"/>
              <w:bottom w:val="single" w:color="auto" w:sz="4" w:space="0"/>
              <w:right w:val="single" w:color="auto" w:sz="4" w:space="0"/>
            </w:tcBorders>
            <w:vAlign w:val="center"/>
          </w:tcPr>
          <w:p w14:paraId="6ED8595E">
            <w:pPr>
              <w:spacing w:line="360" w:lineRule="auto"/>
              <w:jc w:val="center"/>
              <w:rPr>
                <w:rFonts w:ascii="仿宋" w:hAnsi="仿宋" w:eastAsia="仿宋" w:cs="仿宋"/>
                <w:color w:val="000000"/>
                <w:sz w:val="24"/>
                <w:szCs w:val="24"/>
              </w:rPr>
            </w:pPr>
          </w:p>
        </w:tc>
      </w:tr>
      <w:tr w14:paraId="4AFCF6D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trHeight w:val="1355"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36ED1A63">
            <w:pPr>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项目负责人</w:t>
            </w:r>
          </w:p>
        </w:tc>
        <w:tc>
          <w:tcPr>
            <w:tcW w:w="7250" w:type="dxa"/>
            <w:tcBorders>
              <w:top w:val="single" w:color="auto" w:sz="4" w:space="0"/>
              <w:left w:val="single" w:color="auto" w:sz="4" w:space="0"/>
              <w:bottom w:val="single" w:color="auto" w:sz="4" w:space="0"/>
              <w:right w:val="single" w:color="auto" w:sz="4" w:space="0"/>
            </w:tcBorders>
            <w:vAlign w:val="center"/>
          </w:tcPr>
          <w:p w14:paraId="64279197">
            <w:pPr>
              <w:spacing w:line="360" w:lineRule="auto"/>
              <w:jc w:val="center"/>
              <w:rPr>
                <w:rFonts w:ascii="仿宋" w:hAnsi="仿宋" w:eastAsia="仿宋" w:cs="仿宋"/>
                <w:sz w:val="24"/>
                <w:szCs w:val="24"/>
                <w:u w:val="single"/>
              </w:rPr>
            </w:pPr>
          </w:p>
        </w:tc>
      </w:tr>
    </w:tbl>
    <w:p w14:paraId="4290EBD2">
      <w:pPr>
        <w:pStyle w:val="17"/>
        <w:spacing w:before="0" w:beforeAutospacing="0" w:after="0" w:afterAutospacing="0" w:line="360" w:lineRule="auto"/>
        <w:rPr>
          <w:rFonts w:ascii="仿宋" w:hAnsi="仿宋" w:eastAsia="仿宋" w:cs="仿宋"/>
          <w:color w:val="000000"/>
        </w:rPr>
      </w:pPr>
    </w:p>
    <w:p w14:paraId="29C53B20">
      <w:pPr>
        <w:pStyle w:val="17"/>
        <w:spacing w:before="0" w:beforeAutospacing="0" w:after="0" w:afterAutospacing="0" w:line="360" w:lineRule="auto"/>
        <w:rPr>
          <w:rFonts w:ascii="仿宋" w:hAnsi="仿宋" w:eastAsia="仿宋" w:cs="仿宋"/>
          <w:color w:val="000000"/>
        </w:rPr>
      </w:pPr>
      <w:r>
        <w:rPr>
          <w:rFonts w:hint="eastAsia" w:ascii="仿宋" w:hAnsi="仿宋" w:eastAsia="仿宋" w:cs="仿宋"/>
          <w:color w:val="000000"/>
        </w:rPr>
        <w:t>供应商全称（公章）：  </w:t>
      </w:r>
    </w:p>
    <w:p w14:paraId="3D0ED9C0">
      <w:pPr>
        <w:pStyle w:val="17"/>
        <w:spacing w:before="0" w:beforeAutospacing="0" w:after="0" w:afterAutospacing="0" w:line="360" w:lineRule="auto"/>
        <w:rPr>
          <w:rFonts w:ascii="仿宋" w:hAnsi="仿宋" w:eastAsia="仿宋" w:cs="仿宋"/>
          <w:color w:val="000000"/>
          <w:u w:val="single"/>
        </w:rPr>
      </w:pPr>
      <w:r>
        <w:rPr>
          <w:rFonts w:hint="eastAsia" w:ascii="仿宋" w:hAnsi="仿宋" w:eastAsia="仿宋" w:cs="仿宋"/>
          <w:color w:val="000000"/>
        </w:rPr>
        <w:t xml:space="preserve">法定代表人（授权代表）（签字或盖章）： </w:t>
      </w:r>
      <w:r>
        <w:rPr>
          <w:rFonts w:hint="eastAsia" w:ascii="仿宋" w:hAnsi="仿宋" w:eastAsia="仿宋" w:cs="仿宋"/>
          <w:color w:val="000000"/>
          <w:u w:val="single"/>
        </w:rPr>
        <w:t>       </w:t>
      </w:r>
    </w:p>
    <w:p w14:paraId="44D9E85B">
      <w:pPr>
        <w:spacing w:line="0" w:lineRule="atLeast"/>
        <w:rPr>
          <w:rStyle w:val="23"/>
          <w:rFonts w:ascii="仿宋" w:hAnsi="仿宋" w:eastAsia="仿宋" w:cs="仿宋"/>
          <w:color w:val="000000"/>
        </w:rPr>
      </w:pPr>
      <w:r>
        <w:rPr>
          <w:rFonts w:hint="eastAsia" w:ascii="仿宋" w:hAnsi="仿宋" w:eastAsia="仿宋" w:cs="仿宋"/>
          <w:color w:val="000000"/>
          <w:kern w:val="0"/>
          <w:sz w:val="24"/>
          <w:szCs w:val="24"/>
        </w:rPr>
        <w:t>日期</w:t>
      </w:r>
      <w:r>
        <w:rPr>
          <w:rFonts w:hint="eastAsia" w:ascii="仿宋" w:hAnsi="仿宋" w:eastAsia="仿宋" w:cs="仿宋"/>
          <w:color w:val="000000"/>
        </w:rPr>
        <w:t>：  </w:t>
      </w:r>
    </w:p>
    <w:p w14:paraId="6C990C14">
      <w:pPr>
        <w:spacing w:line="0" w:lineRule="atLeast"/>
        <w:rPr>
          <w:rStyle w:val="23"/>
          <w:rFonts w:ascii="仿宋" w:hAnsi="仿宋" w:eastAsia="仿宋" w:cs="仿宋"/>
          <w:color w:val="000000"/>
        </w:rPr>
      </w:pPr>
    </w:p>
    <w:p w14:paraId="2037EFEF">
      <w:pPr>
        <w:spacing w:line="0" w:lineRule="atLeast"/>
        <w:rPr>
          <w:rStyle w:val="23"/>
          <w:rFonts w:ascii="仿宋" w:hAnsi="仿宋" w:eastAsia="仿宋" w:cs="仿宋"/>
          <w:color w:val="000000"/>
        </w:rPr>
      </w:pPr>
    </w:p>
    <w:p w14:paraId="04B46965">
      <w:pPr>
        <w:spacing w:line="0" w:lineRule="atLeast"/>
        <w:rPr>
          <w:rStyle w:val="23"/>
          <w:rFonts w:ascii="仿宋" w:hAnsi="仿宋" w:eastAsia="仿宋" w:cs="仿宋"/>
          <w:color w:val="000000"/>
        </w:rPr>
      </w:pPr>
      <w:r>
        <w:rPr>
          <w:rStyle w:val="23"/>
          <w:rFonts w:hint="eastAsia" w:ascii="仿宋" w:hAnsi="仿宋" w:eastAsia="仿宋" w:cs="仿宋"/>
          <w:color w:val="000000"/>
        </w:rPr>
        <w:t>注:</w:t>
      </w:r>
    </w:p>
    <w:p w14:paraId="46D7E148">
      <w:pPr>
        <w:spacing w:line="0" w:lineRule="atLeast"/>
        <w:rPr>
          <w:rFonts w:ascii="仿宋" w:hAnsi="仿宋" w:eastAsia="仿宋" w:cs="仿宋"/>
          <w:color w:val="000000"/>
        </w:rPr>
      </w:pPr>
      <w:r>
        <w:rPr>
          <w:rFonts w:hint="eastAsia" w:ascii="仿宋" w:hAnsi="仿宋" w:eastAsia="仿宋" w:cs="仿宋"/>
          <w:color w:val="000000"/>
        </w:rPr>
        <w:t>1.所有价格均以人民币表示；</w:t>
      </w:r>
    </w:p>
    <w:p w14:paraId="38D024FE">
      <w:pPr>
        <w:spacing w:line="0" w:lineRule="atLeast"/>
        <w:rPr>
          <w:rFonts w:ascii="仿宋" w:hAnsi="仿宋" w:eastAsia="仿宋" w:cs="仿宋"/>
          <w:color w:val="000000"/>
        </w:rPr>
      </w:pPr>
      <w:r>
        <w:rPr>
          <w:rFonts w:hint="eastAsia" w:ascii="仿宋" w:hAnsi="仿宋" w:eastAsia="仿宋" w:cs="仿宋"/>
          <w:color w:val="000000"/>
        </w:rPr>
        <w:t>2.报价应包括磋商文件所规定的采购范围的全部内容（各类人工、税费、管理费以及一切技术和服务费等）。供应商漏报的费用，视为此项费用已隐含在响应报价中，成交后不得再向采购人收取任何费用；</w:t>
      </w:r>
    </w:p>
    <w:p w14:paraId="31B61C43">
      <w:pPr>
        <w:spacing w:line="0" w:lineRule="atLeast"/>
        <w:rPr>
          <w:rFonts w:ascii="仿宋" w:hAnsi="仿宋" w:eastAsia="仿宋" w:cs="仿宋"/>
          <w:color w:val="000000"/>
        </w:rPr>
      </w:pPr>
      <w:r>
        <w:rPr>
          <w:rFonts w:hint="eastAsia" w:ascii="仿宋" w:hAnsi="仿宋" w:eastAsia="仿宋" w:cs="仿宋"/>
          <w:color w:val="000000"/>
        </w:rPr>
        <w:t>3.磋商文件未列明，而供应商认为必需的费用也需列入报价；</w:t>
      </w:r>
    </w:p>
    <w:p w14:paraId="11AD2795">
      <w:pPr>
        <w:spacing w:line="0" w:lineRule="atLeast"/>
        <w:rPr>
          <w:rFonts w:ascii="仿宋" w:hAnsi="仿宋" w:eastAsia="仿宋" w:cs="仿宋"/>
          <w:color w:val="000000"/>
        </w:rPr>
      </w:pPr>
      <w:r>
        <w:rPr>
          <w:rFonts w:hint="eastAsia" w:ascii="仿宋" w:hAnsi="仿宋" w:eastAsia="仿宋" w:cs="仿宋"/>
          <w:color w:val="000000"/>
        </w:rPr>
        <w:t>4.供应商不得实质性改动报价一览表格式及内容。</w:t>
      </w:r>
    </w:p>
    <w:p w14:paraId="5690E817">
      <w:pPr>
        <w:spacing w:line="360" w:lineRule="auto"/>
        <w:rPr>
          <w:rFonts w:ascii="仿宋" w:hAnsi="仿宋" w:eastAsia="仿宋" w:cs="仿宋"/>
          <w:color w:val="000000"/>
          <w:sz w:val="24"/>
        </w:rPr>
        <w:sectPr>
          <w:footerReference r:id="rId11" w:type="default"/>
          <w:pgSz w:w="11906" w:h="16838"/>
          <w:pgMar w:top="1440" w:right="1080" w:bottom="1440" w:left="1080" w:header="851" w:footer="992" w:gutter="0"/>
          <w:pgNumType w:start="1"/>
          <w:cols w:space="0" w:num="1"/>
          <w:docGrid w:type="lines" w:linePitch="312" w:charSpace="0"/>
        </w:sectPr>
      </w:pPr>
      <w:bookmarkStart w:id="274" w:name="_Toc12470"/>
      <w:bookmarkStart w:id="275" w:name="_Toc14915"/>
    </w:p>
    <w:bookmarkEnd w:id="274"/>
    <w:bookmarkEnd w:id="275"/>
    <w:p w14:paraId="43A69183">
      <w:pPr>
        <w:pStyle w:val="30"/>
        <w:pageBreakBefore/>
        <w:numPr>
          <w:ilvl w:val="0"/>
          <w:numId w:val="0"/>
        </w:numPr>
        <w:spacing w:line="360" w:lineRule="auto"/>
        <w:jc w:val="center"/>
        <w:outlineLvl w:val="0"/>
        <w:rPr>
          <w:rFonts w:ascii="仿宋" w:hAnsi="仿宋" w:eastAsia="仿宋" w:cs="仿宋"/>
          <w:color w:val="000000"/>
          <w:sz w:val="24"/>
        </w:rPr>
      </w:pPr>
      <w:bookmarkStart w:id="276" w:name="_Toc8485"/>
      <w:bookmarkStart w:id="277" w:name="_Toc26188"/>
      <w:bookmarkStart w:id="278" w:name="_Toc17239"/>
      <w:bookmarkStart w:id="279" w:name="_Toc25170487"/>
      <w:bookmarkStart w:id="280" w:name="_Toc17827"/>
      <w:bookmarkStart w:id="281" w:name="_Toc10667"/>
      <w:bookmarkStart w:id="282" w:name="_Toc31144"/>
      <w:bookmarkStart w:id="283" w:name="_Toc5853"/>
      <w:bookmarkStart w:id="284" w:name="_Toc22381"/>
      <w:bookmarkStart w:id="285" w:name="_Toc26957"/>
      <w:bookmarkStart w:id="286" w:name="_Toc28301"/>
      <w:bookmarkStart w:id="287" w:name="_Toc19420"/>
      <w:bookmarkStart w:id="288" w:name="_Toc10753"/>
      <w:bookmarkStart w:id="289" w:name="_Toc812"/>
      <w:bookmarkStart w:id="290" w:name="_Toc30266"/>
      <w:bookmarkStart w:id="291" w:name="_Toc32325"/>
      <w:bookmarkStart w:id="292" w:name="_Toc25230"/>
      <w:r>
        <w:rPr>
          <w:rFonts w:hint="eastAsia" w:ascii="仿宋" w:hAnsi="仿宋" w:eastAsia="仿宋" w:cs="仿宋"/>
          <w:color w:val="000000"/>
          <w:sz w:val="32"/>
          <w:szCs w:val="32"/>
        </w:rPr>
        <w:t>三、</w:t>
      </w:r>
      <w:bookmarkEnd w:id="276"/>
      <w:bookmarkEnd w:id="277"/>
      <w:bookmarkEnd w:id="278"/>
      <w:bookmarkEnd w:id="279"/>
      <w:r>
        <w:rPr>
          <w:rFonts w:hint="eastAsia" w:ascii="仿宋" w:hAnsi="仿宋" w:eastAsia="仿宋" w:cs="仿宋"/>
          <w:color w:val="000000"/>
          <w:sz w:val="32"/>
          <w:szCs w:val="32"/>
        </w:rPr>
        <w:t>报价明细表</w:t>
      </w:r>
      <w:bookmarkEnd w:id="280"/>
      <w:bookmarkEnd w:id="281"/>
      <w:bookmarkEnd w:id="282"/>
      <w:bookmarkEnd w:id="283"/>
      <w:bookmarkEnd w:id="284"/>
      <w:bookmarkEnd w:id="285"/>
      <w:bookmarkEnd w:id="286"/>
      <w:bookmarkEnd w:id="287"/>
      <w:bookmarkEnd w:id="288"/>
      <w:bookmarkEnd w:id="289"/>
      <w:bookmarkEnd w:id="290"/>
    </w:p>
    <w:p w14:paraId="411A5DDC">
      <w:pPr>
        <w:pStyle w:val="19"/>
        <w:spacing w:line="360" w:lineRule="auto"/>
        <w:ind w:firstLine="480"/>
        <w:rPr>
          <w:rFonts w:ascii="仿宋" w:hAnsi="仿宋" w:eastAsia="仿宋" w:cs="仿宋"/>
          <w:color w:val="000000"/>
          <w:sz w:val="24"/>
        </w:rPr>
      </w:pPr>
      <w:r>
        <w:rPr>
          <w:rFonts w:hint="eastAsia" w:ascii="仿宋" w:hAnsi="仿宋" w:eastAsia="仿宋" w:cs="仿宋"/>
          <w:color w:val="000000"/>
          <w:sz w:val="24"/>
        </w:rPr>
        <w:t>项目名称：</w:t>
      </w:r>
      <w:r>
        <w:rPr>
          <w:rFonts w:hint="eastAsia" w:ascii="仿宋" w:hAnsi="仿宋" w:eastAsia="仿宋" w:cs="仿宋"/>
          <w:color w:val="000000"/>
          <w:sz w:val="24"/>
          <w:szCs w:val="24"/>
        </w:rPr>
        <w:t>江苏省高级人民法院密评项目</w:t>
      </w:r>
    </w:p>
    <w:p w14:paraId="008C2F15">
      <w:pPr>
        <w:pStyle w:val="19"/>
        <w:spacing w:line="0" w:lineRule="atLeast"/>
        <w:ind w:firstLine="480"/>
        <w:rPr>
          <w:rFonts w:ascii="仿宋" w:hAnsi="仿宋" w:eastAsia="仿宋" w:cs="仿宋"/>
          <w:color w:val="000000"/>
          <w:sz w:val="24"/>
        </w:rPr>
      </w:pPr>
      <w:r>
        <w:rPr>
          <w:rFonts w:hint="eastAsia" w:ascii="仿宋" w:hAnsi="仿宋" w:eastAsia="仿宋" w:cs="仿宋"/>
          <w:color w:val="000000"/>
          <w:sz w:val="24"/>
        </w:rPr>
        <w:t>项目编号：</w:t>
      </w:r>
      <w:r>
        <w:rPr>
          <w:rFonts w:hint="eastAsia" w:ascii="仿宋" w:hAnsi="仿宋" w:eastAsia="仿宋" w:cs="仿宋"/>
          <w:color w:val="000000"/>
          <w:sz w:val="24"/>
          <w:szCs w:val="24"/>
        </w:rPr>
        <w:t>NJDCX-202406120824</w:t>
      </w:r>
    </w:p>
    <w:p w14:paraId="508ED72B">
      <w:pPr>
        <w:spacing w:line="0" w:lineRule="atLeast"/>
        <w:rPr>
          <w:rFonts w:ascii="仿宋" w:hAnsi="仿宋" w:eastAsia="仿宋" w:cs="仿宋"/>
          <w:color w:val="000000"/>
          <w:sz w:val="24"/>
        </w:rPr>
      </w:pPr>
    </w:p>
    <w:tbl>
      <w:tblPr>
        <w:tblStyle w:val="20"/>
        <w:tblW w:w="9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24"/>
        <w:gridCol w:w="1810"/>
        <w:gridCol w:w="1639"/>
        <w:gridCol w:w="1454"/>
        <w:gridCol w:w="1454"/>
      </w:tblGrid>
      <w:tr w14:paraId="608CB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665C391B">
            <w:pPr>
              <w:spacing w:line="0" w:lineRule="atLeas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序号</w:t>
            </w:r>
          </w:p>
        </w:tc>
        <w:tc>
          <w:tcPr>
            <w:tcW w:w="1924" w:type="dxa"/>
            <w:vAlign w:val="center"/>
          </w:tcPr>
          <w:p w14:paraId="6B867BF2">
            <w:pPr>
              <w:spacing w:line="0" w:lineRule="atLeas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服务名称</w:t>
            </w:r>
          </w:p>
        </w:tc>
        <w:tc>
          <w:tcPr>
            <w:tcW w:w="1810" w:type="dxa"/>
            <w:vAlign w:val="center"/>
          </w:tcPr>
          <w:p w14:paraId="36F0DAE3">
            <w:pPr>
              <w:spacing w:line="0" w:lineRule="atLeas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服务内容</w:t>
            </w:r>
          </w:p>
        </w:tc>
        <w:tc>
          <w:tcPr>
            <w:tcW w:w="1639" w:type="dxa"/>
            <w:vAlign w:val="center"/>
          </w:tcPr>
          <w:p w14:paraId="070C4470">
            <w:pPr>
              <w:spacing w:line="0" w:lineRule="atLeas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数量/单位</w:t>
            </w:r>
          </w:p>
        </w:tc>
        <w:tc>
          <w:tcPr>
            <w:tcW w:w="1454" w:type="dxa"/>
            <w:vAlign w:val="center"/>
          </w:tcPr>
          <w:p w14:paraId="32AC0B96">
            <w:pPr>
              <w:spacing w:line="0" w:lineRule="atLeas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单价</w:t>
            </w:r>
          </w:p>
          <w:p w14:paraId="4E24364F">
            <w:pPr>
              <w:spacing w:line="0" w:lineRule="atLeas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（元）</w:t>
            </w:r>
          </w:p>
        </w:tc>
        <w:tc>
          <w:tcPr>
            <w:tcW w:w="1454" w:type="dxa"/>
            <w:vAlign w:val="center"/>
          </w:tcPr>
          <w:p w14:paraId="5E10E8EF">
            <w:pPr>
              <w:spacing w:line="0" w:lineRule="atLeas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单项合计价</w:t>
            </w:r>
          </w:p>
          <w:p w14:paraId="3C83B109">
            <w:pPr>
              <w:spacing w:line="0" w:lineRule="atLeas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（元）</w:t>
            </w:r>
          </w:p>
        </w:tc>
      </w:tr>
      <w:tr w14:paraId="586DF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0D86E7C2">
            <w:pPr>
              <w:spacing w:line="0" w:lineRule="atLeast"/>
              <w:jc w:val="center"/>
              <w:rPr>
                <w:rFonts w:ascii="仿宋" w:hAnsi="仿宋" w:eastAsia="仿宋" w:cs="仿宋"/>
                <w:color w:val="000000" w:themeColor="text1"/>
                <w:sz w:val="24"/>
                <w14:textFill>
                  <w14:solidFill>
                    <w14:schemeClr w14:val="tx1"/>
                  </w14:solidFill>
                </w14:textFill>
              </w:rPr>
            </w:pPr>
          </w:p>
        </w:tc>
        <w:tc>
          <w:tcPr>
            <w:tcW w:w="1924" w:type="dxa"/>
            <w:vAlign w:val="center"/>
          </w:tcPr>
          <w:p w14:paraId="00260E00">
            <w:pPr>
              <w:spacing w:line="0" w:lineRule="atLeast"/>
              <w:jc w:val="center"/>
              <w:rPr>
                <w:rFonts w:ascii="仿宋" w:hAnsi="仿宋" w:eastAsia="仿宋" w:cs="仿宋"/>
                <w:color w:val="000000" w:themeColor="text1"/>
                <w:sz w:val="24"/>
                <w14:textFill>
                  <w14:solidFill>
                    <w14:schemeClr w14:val="tx1"/>
                  </w14:solidFill>
                </w14:textFill>
              </w:rPr>
            </w:pPr>
          </w:p>
        </w:tc>
        <w:tc>
          <w:tcPr>
            <w:tcW w:w="1810" w:type="dxa"/>
            <w:vAlign w:val="center"/>
          </w:tcPr>
          <w:p w14:paraId="2DB6AB3B">
            <w:pPr>
              <w:spacing w:line="0" w:lineRule="atLeast"/>
              <w:jc w:val="center"/>
              <w:rPr>
                <w:rFonts w:ascii="仿宋" w:hAnsi="仿宋" w:eastAsia="仿宋" w:cs="仿宋"/>
                <w:color w:val="000000" w:themeColor="text1"/>
                <w:sz w:val="24"/>
                <w14:textFill>
                  <w14:solidFill>
                    <w14:schemeClr w14:val="tx1"/>
                  </w14:solidFill>
                </w14:textFill>
              </w:rPr>
            </w:pPr>
          </w:p>
        </w:tc>
        <w:tc>
          <w:tcPr>
            <w:tcW w:w="1639" w:type="dxa"/>
            <w:vAlign w:val="center"/>
          </w:tcPr>
          <w:p w14:paraId="0C989A1D">
            <w:pPr>
              <w:spacing w:line="0" w:lineRule="atLeast"/>
              <w:jc w:val="center"/>
              <w:rPr>
                <w:rFonts w:ascii="仿宋" w:hAnsi="仿宋" w:eastAsia="仿宋" w:cs="仿宋"/>
                <w:color w:val="000000" w:themeColor="text1"/>
                <w:sz w:val="24"/>
                <w14:textFill>
                  <w14:solidFill>
                    <w14:schemeClr w14:val="tx1"/>
                  </w14:solidFill>
                </w14:textFill>
              </w:rPr>
            </w:pPr>
          </w:p>
        </w:tc>
        <w:tc>
          <w:tcPr>
            <w:tcW w:w="1454" w:type="dxa"/>
            <w:vAlign w:val="center"/>
          </w:tcPr>
          <w:p w14:paraId="481772E8">
            <w:pPr>
              <w:spacing w:line="0" w:lineRule="atLeast"/>
              <w:jc w:val="center"/>
              <w:rPr>
                <w:rFonts w:ascii="仿宋" w:hAnsi="仿宋" w:eastAsia="仿宋" w:cs="仿宋"/>
                <w:color w:val="000000" w:themeColor="text1"/>
                <w:sz w:val="24"/>
                <w14:textFill>
                  <w14:solidFill>
                    <w14:schemeClr w14:val="tx1"/>
                  </w14:solidFill>
                </w14:textFill>
              </w:rPr>
            </w:pPr>
          </w:p>
        </w:tc>
        <w:tc>
          <w:tcPr>
            <w:tcW w:w="1454" w:type="dxa"/>
            <w:vAlign w:val="center"/>
          </w:tcPr>
          <w:p w14:paraId="130570A2">
            <w:pPr>
              <w:spacing w:line="0" w:lineRule="atLeast"/>
              <w:jc w:val="center"/>
              <w:rPr>
                <w:rFonts w:ascii="仿宋" w:hAnsi="仿宋" w:eastAsia="仿宋" w:cs="仿宋"/>
                <w:color w:val="000000" w:themeColor="text1"/>
                <w:sz w:val="24"/>
                <w14:textFill>
                  <w14:solidFill>
                    <w14:schemeClr w14:val="tx1"/>
                  </w14:solidFill>
                </w14:textFill>
              </w:rPr>
            </w:pPr>
          </w:p>
        </w:tc>
      </w:tr>
      <w:tr w14:paraId="5EE03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1AEB2ACF">
            <w:pPr>
              <w:spacing w:line="0" w:lineRule="atLeast"/>
              <w:jc w:val="center"/>
              <w:rPr>
                <w:rFonts w:ascii="仿宋" w:hAnsi="仿宋" w:eastAsia="仿宋" w:cs="仿宋"/>
                <w:color w:val="000000" w:themeColor="text1"/>
                <w:sz w:val="24"/>
                <w14:textFill>
                  <w14:solidFill>
                    <w14:schemeClr w14:val="tx1"/>
                  </w14:solidFill>
                </w14:textFill>
              </w:rPr>
            </w:pPr>
          </w:p>
        </w:tc>
        <w:tc>
          <w:tcPr>
            <w:tcW w:w="1924" w:type="dxa"/>
            <w:vAlign w:val="center"/>
          </w:tcPr>
          <w:p w14:paraId="03152D17">
            <w:pPr>
              <w:spacing w:line="0" w:lineRule="atLeast"/>
              <w:jc w:val="center"/>
              <w:rPr>
                <w:rFonts w:ascii="仿宋" w:hAnsi="仿宋" w:eastAsia="仿宋" w:cs="仿宋"/>
                <w:color w:val="000000" w:themeColor="text1"/>
                <w:sz w:val="24"/>
                <w14:textFill>
                  <w14:solidFill>
                    <w14:schemeClr w14:val="tx1"/>
                  </w14:solidFill>
                </w14:textFill>
              </w:rPr>
            </w:pPr>
          </w:p>
        </w:tc>
        <w:tc>
          <w:tcPr>
            <w:tcW w:w="1810" w:type="dxa"/>
            <w:vAlign w:val="center"/>
          </w:tcPr>
          <w:p w14:paraId="0CDA33FF">
            <w:pPr>
              <w:spacing w:line="0" w:lineRule="atLeast"/>
              <w:jc w:val="center"/>
              <w:rPr>
                <w:rFonts w:ascii="仿宋" w:hAnsi="仿宋" w:eastAsia="仿宋" w:cs="仿宋"/>
                <w:color w:val="000000" w:themeColor="text1"/>
                <w:sz w:val="24"/>
                <w14:textFill>
                  <w14:solidFill>
                    <w14:schemeClr w14:val="tx1"/>
                  </w14:solidFill>
                </w14:textFill>
              </w:rPr>
            </w:pPr>
          </w:p>
        </w:tc>
        <w:tc>
          <w:tcPr>
            <w:tcW w:w="1639" w:type="dxa"/>
            <w:vAlign w:val="center"/>
          </w:tcPr>
          <w:p w14:paraId="630FB6FF">
            <w:pPr>
              <w:spacing w:line="0" w:lineRule="atLeast"/>
              <w:jc w:val="center"/>
              <w:rPr>
                <w:rFonts w:ascii="仿宋" w:hAnsi="仿宋" w:eastAsia="仿宋" w:cs="仿宋"/>
                <w:color w:val="000000" w:themeColor="text1"/>
                <w:sz w:val="24"/>
                <w14:textFill>
                  <w14:solidFill>
                    <w14:schemeClr w14:val="tx1"/>
                  </w14:solidFill>
                </w14:textFill>
              </w:rPr>
            </w:pPr>
          </w:p>
        </w:tc>
        <w:tc>
          <w:tcPr>
            <w:tcW w:w="1454" w:type="dxa"/>
            <w:vAlign w:val="center"/>
          </w:tcPr>
          <w:p w14:paraId="59127360">
            <w:pPr>
              <w:spacing w:line="0" w:lineRule="atLeast"/>
              <w:jc w:val="center"/>
              <w:rPr>
                <w:rFonts w:ascii="仿宋" w:hAnsi="仿宋" w:eastAsia="仿宋" w:cs="仿宋"/>
                <w:color w:val="000000" w:themeColor="text1"/>
                <w:sz w:val="24"/>
                <w14:textFill>
                  <w14:solidFill>
                    <w14:schemeClr w14:val="tx1"/>
                  </w14:solidFill>
                </w14:textFill>
              </w:rPr>
            </w:pPr>
          </w:p>
        </w:tc>
        <w:tc>
          <w:tcPr>
            <w:tcW w:w="1454" w:type="dxa"/>
            <w:vAlign w:val="center"/>
          </w:tcPr>
          <w:p w14:paraId="48745565">
            <w:pPr>
              <w:spacing w:line="0" w:lineRule="atLeast"/>
              <w:jc w:val="center"/>
              <w:rPr>
                <w:rFonts w:ascii="仿宋" w:hAnsi="仿宋" w:eastAsia="仿宋" w:cs="仿宋"/>
                <w:color w:val="000000" w:themeColor="text1"/>
                <w:sz w:val="24"/>
                <w14:textFill>
                  <w14:solidFill>
                    <w14:schemeClr w14:val="tx1"/>
                  </w14:solidFill>
                </w14:textFill>
              </w:rPr>
            </w:pPr>
          </w:p>
        </w:tc>
      </w:tr>
      <w:tr w14:paraId="7A5A0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5258346F">
            <w:pPr>
              <w:spacing w:line="0" w:lineRule="atLeast"/>
              <w:jc w:val="center"/>
              <w:rPr>
                <w:rFonts w:ascii="仿宋" w:hAnsi="仿宋" w:eastAsia="仿宋" w:cs="仿宋"/>
                <w:color w:val="000000" w:themeColor="text1"/>
                <w:sz w:val="24"/>
                <w14:textFill>
                  <w14:solidFill>
                    <w14:schemeClr w14:val="tx1"/>
                  </w14:solidFill>
                </w14:textFill>
              </w:rPr>
            </w:pPr>
          </w:p>
        </w:tc>
        <w:tc>
          <w:tcPr>
            <w:tcW w:w="1924" w:type="dxa"/>
            <w:vAlign w:val="center"/>
          </w:tcPr>
          <w:p w14:paraId="09E9ABB3">
            <w:pPr>
              <w:spacing w:line="0" w:lineRule="atLeast"/>
              <w:jc w:val="center"/>
              <w:rPr>
                <w:rFonts w:ascii="仿宋" w:hAnsi="仿宋" w:eastAsia="仿宋" w:cs="仿宋"/>
                <w:color w:val="000000" w:themeColor="text1"/>
                <w:sz w:val="24"/>
                <w14:textFill>
                  <w14:solidFill>
                    <w14:schemeClr w14:val="tx1"/>
                  </w14:solidFill>
                </w14:textFill>
              </w:rPr>
            </w:pPr>
          </w:p>
        </w:tc>
        <w:tc>
          <w:tcPr>
            <w:tcW w:w="1810" w:type="dxa"/>
            <w:vAlign w:val="center"/>
          </w:tcPr>
          <w:p w14:paraId="60A984E0">
            <w:pPr>
              <w:spacing w:line="0" w:lineRule="atLeast"/>
              <w:jc w:val="center"/>
              <w:rPr>
                <w:rFonts w:ascii="仿宋" w:hAnsi="仿宋" w:eastAsia="仿宋" w:cs="仿宋"/>
                <w:color w:val="000000" w:themeColor="text1"/>
                <w:sz w:val="24"/>
                <w14:textFill>
                  <w14:solidFill>
                    <w14:schemeClr w14:val="tx1"/>
                  </w14:solidFill>
                </w14:textFill>
              </w:rPr>
            </w:pPr>
          </w:p>
        </w:tc>
        <w:tc>
          <w:tcPr>
            <w:tcW w:w="1639" w:type="dxa"/>
            <w:vAlign w:val="center"/>
          </w:tcPr>
          <w:p w14:paraId="0C6461B8">
            <w:pPr>
              <w:spacing w:line="0" w:lineRule="atLeast"/>
              <w:jc w:val="center"/>
              <w:rPr>
                <w:rFonts w:ascii="仿宋" w:hAnsi="仿宋" w:eastAsia="仿宋" w:cs="仿宋"/>
                <w:color w:val="000000" w:themeColor="text1"/>
                <w:sz w:val="24"/>
                <w14:textFill>
                  <w14:solidFill>
                    <w14:schemeClr w14:val="tx1"/>
                  </w14:solidFill>
                </w14:textFill>
              </w:rPr>
            </w:pPr>
          </w:p>
        </w:tc>
        <w:tc>
          <w:tcPr>
            <w:tcW w:w="1454" w:type="dxa"/>
            <w:vAlign w:val="center"/>
          </w:tcPr>
          <w:p w14:paraId="69699413">
            <w:pPr>
              <w:spacing w:line="0" w:lineRule="atLeast"/>
              <w:jc w:val="center"/>
              <w:rPr>
                <w:rFonts w:ascii="仿宋" w:hAnsi="仿宋" w:eastAsia="仿宋" w:cs="仿宋"/>
                <w:color w:val="000000" w:themeColor="text1"/>
                <w:sz w:val="24"/>
                <w14:textFill>
                  <w14:solidFill>
                    <w14:schemeClr w14:val="tx1"/>
                  </w14:solidFill>
                </w14:textFill>
              </w:rPr>
            </w:pPr>
          </w:p>
        </w:tc>
        <w:tc>
          <w:tcPr>
            <w:tcW w:w="1454" w:type="dxa"/>
            <w:vAlign w:val="center"/>
          </w:tcPr>
          <w:p w14:paraId="0AE9D346">
            <w:pPr>
              <w:spacing w:line="0" w:lineRule="atLeast"/>
              <w:jc w:val="center"/>
              <w:rPr>
                <w:rFonts w:ascii="仿宋" w:hAnsi="仿宋" w:eastAsia="仿宋" w:cs="仿宋"/>
                <w:color w:val="000000" w:themeColor="text1"/>
                <w:sz w:val="24"/>
                <w14:textFill>
                  <w14:solidFill>
                    <w14:schemeClr w14:val="tx1"/>
                  </w14:solidFill>
                </w14:textFill>
              </w:rPr>
            </w:pPr>
          </w:p>
        </w:tc>
      </w:tr>
      <w:tr w14:paraId="69990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7654DBBB">
            <w:pPr>
              <w:spacing w:line="0" w:lineRule="atLeast"/>
              <w:jc w:val="center"/>
              <w:rPr>
                <w:rFonts w:ascii="仿宋" w:hAnsi="仿宋" w:eastAsia="仿宋" w:cs="仿宋"/>
                <w:color w:val="000000" w:themeColor="text1"/>
                <w:sz w:val="24"/>
                <w14:textFill>
                  <w14:solidFill>
                    <w14:schemeClr w14:val="tx1"/>
                  </w14:solidFill>
                </w14:textFill>
              </w:rPr>
            </w:pPr>
          </w:p>
        </w:tc>
        <w:tc>
          <w:tcPr>
            <w:tcW w:w="1924" w:type="dxa"/>
            <w:vAlign w:val="center"/>
          </w:tcPr>
          <w:p w14:paraId="467D63A7">
            <w:pPr>
              <w:spacing w:line="0" w:lineRule="atLeast"/>
              <w:jc w:val="center"/>
              <w:rPr>
                <w:rFonts w:ascii="仿宋" w:hAnsi="仿宋" w:eastAsia="仿宋" w:cs="仿宋"/>
                <w:color w:val="000000" w:themeColor="text1"/>
                <w:sz w:val="24"/>
                <w14:textFill>
                  <w14:solidFill>
                    <w14:schemeClr w14:val="tx1"/>
                  </w14:solidFill>
                </w14:textFill>
              </w:rPr>
            </w:pPr>
          </w:p>
        </w:tc>
        <w:tc>
          <w:tcPr>
            <w:tcW w:w="1810" w:type="dxa"/>
            <w:vAlign w:val="center"/>
          </w:tcPr>
          <w:p w14:paraId="4059C5FC">
            <w:pPr>
              <w:spacing w:line="0" w:lineRule="atLeast"/>
              <w:jc w:val="center"/>
              <w:rPr>
                <w:rFonts w:ascii="仿宋" w:hAnsi="仿宋" w:eastAsia="仿宋" w:cs="仿宋"/>
                <w:color w:val="000000" w:themeColor="text1"/>
                <w:sz w:val="24"/>
                <w14:textFill>
                  <w14:solidFill>
                    <w14:schemeClr w14:val="tx1"/>
                  </w14:solidFill>
                </w14:textFill>
              </w:rPr>
            </w:pPr>
          </w:p>
        </w:tc>
        <w:tc>
          <w:tcPr>
            <w:tcW w:w="1639" w:type="dxa"/>
            <w:vAlign w:val="center"/>
          </w:tcPr>
          <w:p w14:paraId="2B3653C3">
            <w:pPr>
              <w:spacing w:line="0" w:lineRule="atLeast"/>
              <w:jc w:val="center"/>
              <w:rPr>
                <w:rFonts w:ascii="仿宋" w:hAnsi="仿宋" w:eastAsia="仿宋" w:cs="仿宋"/>
                <w:color w:val="000000" w:themeColor="text1"/>
                <w:sz w:val="24"/>
                <w14:textFill>
                  <w14:solidFill>
                    <w14:schemeClr w14:val="tx1"/>
                  </w14:solidFill>
                </w14:textFill>
              </w:rPr>
            </w:pPr>
          </w:p>
        </w:tc>
        <w:tc>
          <w:tcPr>
            <w:tcW w:w="1454" w:type="dxa"/>
            <w:vAlign w:val="center"/>
          </w:tcPr>
          <w:p w14:paraId="578C9A4E">
            <w:pPr>
              <w:spacing w:line="0" w:lineRule="atLeast"/>
              <w:jc w:val="center"/>
              <w:rPr>
                <w:rFonts w:ascii="仿宋" w:hAnsi="仿宋" w:eastAsia="仿宋" w:cs="仿宋"/>
                <w:color w:val="000000" w:themeColor="text1"/>
                <w:sz w:val="24"/>
                <w14:textFill>
                  <w14:solidFill>
                    <w14:schemeClr w14:val="tx1"/>
                  </w14:solidFill>
                </w14:textFill>
              </w:rPr>
            </w:pPr>
          </w:p>
        </w:tc>
        <w:tc>
          <w:tcPr>
            <w:tcW w:w="1454" w:type="dxa"/>
            <w:vAlign w:val="center"/>
          </w:tcPr>
          <w:p w14:paraId="1C159981">
            <w:pPr>
              <w:spacing w:line="0" w:lineRule="atLeast"/>
              <w:jc w:val="center"/>
              <w:rPr>
                <w:rFonts w:ascii="仿宋" w:hAnsi="仿宋" w:eastAsia="仿宋" w:cs="仿宋"/>
                <w:color w:val="000000" w:themeColor="text1"/>
                <w:sz w:val="24"/>
                <w14:textFill>
                  <w14:solidFill>
                    <w14:schemeClr w14:val="tx1"/>
                  </w14:solidFill>
                </w14:textFill>
              </w:rPr>
            </w:pPr>
          </w:p>
        </w:tc>
      </w:tr>
      <w:tr w14:paraId="04CB3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00F19AA8">
            <w:pPr>
              <w:spacing w:line="0" w:lineRule="atLeast"/>
              <w:jc w:val="center"/>
              <w:rPr>
                <w:rFonts w:ascii="仿宋" w:hAnsi="仿宋" w:eastAsia="仿宋" w:cs="仿宋"/>
                <w:color w:val="000000" w:themeColor="text1"/>
                <w:sz w:val="24"/>
                <w14:textFill>
                  <w14:solidFill>
                    <w14:schemeClr w14:val="tx1"/>
                  </w14:solidFill>
                </w14:textFill>
              </w:rPr>
            </w:pPr>
          </w:p>
        </w:tc>
        <w:tc>
          <w:tcPr>
            <w:tcW w:w="1924" w:type="dxa"/>
            <w:vAlign w:val="center"/>
          </w:tcPr>
          <w:p w14:paraId="7D846D7C">
            <w:pPr>
              <w:spacing w:line="0" w:lineRule="atLeast"/>
              <w:jc w:val="center"/>
              <w:rPr>
                <w:rFonts w:ascii="仿宋" w:hAnsi="仿宋" w:eastAsia="仿宋" w:cs="仿宋"/>
                <w:color w:val="000000" w:themeColor="text1"/>
                <w:sz w:val="24"/>
                <w14:textFill>
                  <w14:solidFill>
                    <w14:schemeClr w14:val="tx1"/>
                  </w14:solidFill>
                </w14:textFill>
              </w:rPr>
            </w:pPr>
          </w:p>
        </w:tc>
        <w:tc>
          <w:tcPr>
            <w:tcW w:w="1810" w:type="dxa"/>
            <w:vAlign w:val="center"/>
          </w:tcPr>
          <w:p w14:paraId="48A5CF65">
            <w:pPr>
              <w:spacing w:line="0" w:lineRule="atLeast"/>
              <w:jc w:val="center"/>
              <w:rPr>
                <w:rFonts w:ascii="仿宋" w:hAnsi="仿宋" w:eastAsia="仿宋" w:cs="仿宋"/>
                <w:color w:val="000000" w:themeColor="text1"/>
                <w:sz w:val="24"/>
                <w14:textFill>
                  <w14:solidFill>
                    <w14:schemeClr w14:val="tx1"/>
                  </w14:solidFill>
                </w14:textFill>
              </w:rPr>
            </w:pPr>
          </w:p>
        </w:tc>
        <w:tc>
          <w:tcPr>
            <w:tcW w:w="1639" w:type="dxa"/>
            <w:vAlign w:val="center"/>
          </w:tcPr>
          <w:p w14:paraId="6F0155AB">
            <w:pPr>
              <w:spacing w:line="0" w:lineRule="atLeast"/>
              <w:jc w:val="center"/>
              <w:rPr>
                <w:rFonts w:ascii="仿宋" w:hAnsi="仿宋" w:eastAsia="仿宋" w:cs="仿宋"/>
                <w:color w:val="000000" w:themeColor="text1"/>
                <w:sz w:val="24"/>
                <w14:textFill>
                  <w14:solidFill>
                    <w14:schemeClr w14:val="tx1"/>
                  </w14:solidFill>
                </w14:textFill>
              </w:rPr>
            </w:pPr>
          </w:p>
        </w:tc>
        <w:tc>
          <w:tcPr>
            <w:tcW w:w="1454" w:type="dxa"/>
            <w:vAlign w:val="center"/>
          </w:tcPr>
          <w:p w14:paraId="69D479F8">
            <w:pPr>
              <w:spacing w:line="0" w:lineRule="atLeast"/>
              <w:jc w:val="center"/>
              <w:rPr>
                <w:rFonts w:ascii="仿宋" w:hAnsi="仿宋" w:eastAsia="仿宋" w:cs="仿宋"/>
                <w:color w:val="000000" w:themeColor="text1"/>
                <w:sz w:val="24"/>
                <w14:textFill>
                  <w14:solidFill>
                    <w14:schemeClr w14:val="tx1"/>
                  </w14:solidFill>
                </w14:textFill>
              </w:rPr>
            </w:pPr>
          </w:p>
        </w:tc>
        <w:tc>
          <w:tcPr>
            <w:tcW w:w="1454" w:type="dxa"/>
            <w:vAlign w:val="center"/>
          </w:tcPr>
          <w:p w14:paraId="03B7EEC0">
            <w:pPr>
              <w:spacing w:line="0" w:lineRule="atLeast"/>
              <w:jc w:val="center"/>
              <w:rPr>
                <w:rFonts w:ascii="仿宋" w:hAnsi="仿宋" w:eastAsia="仿宋" w:cs="仿宋"/>
                <w:color w:val="000000" w:themeColor="text1"/>
                <w:sz w:val="24"/>
                <w14:textFill>
                  <w14:solidFill>
                    <w14:schemeClr w14:val="tx1"/>
                  </w14:solidFill>
                </w14:textFill>
              </w:rPr>
            </w:pPr>
          </w:p>
        </w:tc>
      </w:tr>
      <w:tr w14:paraId="6BAC7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6097" w:type="dxa"/>
            <w:gridSpan w:val="4"/>
            <w:vAlign w:val="center"/>
          </w:tcPr>
          <w:p w14:paraId="11C29440">
            <w:pPr>
              <w:spacing w:line="0" w:lineRule="atLeast"/>
              <w:jc w:val="left"/>
              <w:rPr>
                <w:rFonts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报价总计（小写）：</w:t>
            </w:r>
          </w:p>
          <w:p w14:paraId="2EF31DDD">
            <w:pPr>
              <w:spacing w:line="0" w:lineRule="atLeast"/>
              <w:jc w:val="left"/>
              <w:rPr>
                <w:rFonts w:ascii="仿宋" w:hAnsi="仿宋" w:eastAsia="仿宋" w:cs="仿宋"/>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 xml:space="preserve">            （大写）：</w:t>
            </w:r>
          </w:p>
        </w:tc>
        <w:tc>
          <w:tcPr>
            <w:tcW w:w="1454" w:type="dxa"/>
            <w:vAlign w:val="center"/>
          </w:tcPr>
          <w:p w14:paraId="3DF39982">
            <w:pPr>
              <w:spacing w:line="0" w:lineRule="atLeast"/>
              <w:jc w:val="left"/>
              <w:rPr>
                <w:rFonts w:ascii="仿宋" w:hAnsi="仿宋" w:eastAsia="仿宋" w:cs="仿宋"/>
                <w:color w:val="000000" w:themeColor="text1"/>
                <w14:textFill>
                  <w14:solidFill>
                    <w14:schemeClr w14:val="tx1"/>
                  </w14:solidFill>
                </w14:textFill>
              </w:rPr>
            </w:pPr>
          </w:p>
        </w:tc>
        <w:tc>
          <w:tcPr>
            <w:tcW w:w="1454" w:type="dxa"/>
            <w:vAlign w:val="center"/>
          </w:tcPr>
          <w:p w14:paraId="5AF247DF">
            <w:pPr>
              <w:spacing w:line="0" w:lineRule="atLeast"/>
              <w:jc w:val="left"/>
              <w:rPr>
                <w:rFonts w:ascii="仿宋" w:hAnsi="仿宋" w:eastAsia="仿宋" w:cs="仿宋"/>
                <w:color w:val="000000" w:themeColor="text1"/>
                <w14:textFill>
                  <w14:solidFill>
                    <w14:schemeClr w14:val="tx1"/>
                  </w14:solidFill>
                </w14:textFill>
              </w:rPr>
            </w:pPr>
          </w:p>
        </w:tc>
      </w:tr>
    </w:tbl>
    <w:p w14:paraId="56BC59FE">
      <w:pPr>
        <w:pStyle w:val="19"/>
        <w:ind w:firstLine="0" w:firstLineChars="0"/>
        <w:rPr>
          <w:rFonts w:ascii="仿宋" w:hAnsi="仿宋" w:eastAsia="仿宋" w:cs="仿宋"/>
          <w:color w:val="000000"/>
          <w:sz w:val="24"/>
        </w:rPr>
      </w:pPr>
    </w:p>
    <w:p w14:paraId="61B4F14B">
      <w:pPr>
        <w:rPr>
          <w:rFonts w:ascii="仿宋" w:hAnsi="仿宋" w:eastAsia="仿宋" w:cs="仿宋"/>
          <w:color w:val="000000"/>
          <w:sz w:val="24"/>
        </w:rPr>
      </w:pPr>
    </w:p>
    <w:p w14:paraId="0A8FCECB">
      <w:pPr>
        <w:pStyle w:val="19"/>
        <w:spacing w:line="360" w:lineRule="auto"/>
        <w:ind w:firstLine="480"/>
        <w:rPr>
          <w:rFonts w:ascii="仿宋" w:hAnsi="仿宋" w:eastAsia="仿宋" w:cs="仿宋"/>
          <w:color w:val="000000"/>
          <w:sz w:val="24"/>
        </w:rPr>
      </w:pPr>
      <w:r>
        <w:rPr>
          <w:rFonts w:hint="eastAsia" w:ascii="仿宋" w:hAnsi="仿宋" w:eastAsia="仿宋" w:cs="仿宋"/>
          <w:color w:val="000000"/>
          <w:sz w:val="24"/>
        </w:rPr>
        <w:t>供应商全称（盖章）：</w:t>
      </w:r>
    </w:p>
    <w:p w14:paraId="245B55A7">
      <w:pPr>
        <w:pStyle w:val="19"/>
        <w:spacing w:line="360" w:lineRule="auto"/>
        <w:ind w:firstLine="480"/>
        <w:rPr>
          <w:rFonts w:ascii="仿宋" w:hAnsi="仿宋" w:eastAsia="仿宋" w:cs="仿宋"/>
          <w:color w:val="000000"/>
          <w:sz w:val="24"/>
        </w:rPr>
      </w:pPr>
      <w:r>
        <w:rPr>
          <w:rFonts w:hint="eastAsia" w:ascii="仿宋" w:hAnsi="仿宋" w:eastAsia="仿宋" w:cs="仿宋"/>
          <w:color w:val="000000"/>
          <w:sz w:val="24"/>
        </w:rPr>
        <w:t xml:space="preserve">法定代表人或者授权代表（签字或盖章）：                 </w:t>
      </w:r>
    </w:p>
    <w:p w14:paraId="6BFE5D47">
      <w:pPr>
        <w:spacing w:line="360" w:lineRule="auto"/>
        <w:ind w:firstLine="480" w:firstLineChars="200"/>
        <w:jc w:val="left"/>
        <w:rPr>
          <w:rFonts w:ascii="仿宋" w:hAnsi="仿宋" w:eastAsia="仿宋" w:cs="仿宋"/>
          <w:color w:val="000000"/>
          <w:sz w:val="24"/>
        </w:rPr>
      </w:pPr>
      <w:r>
        <w:rPr>
          <w:rFonts w:hint="eastAsia" w:ascii="仿宋" w:hAnsi="仿宋" w:eastAsia="仿宋" w:cs="仿宋"/>
          <w:color w:val="000000"/>
          <w:sz w:val="24"/>
        </w:rPr>
        <w:t>日期：    年   月    日</w:t>
      </w:r>
    </w:p>
    <w:p w14:paraId="0A095398">
      <w:pPr>
        <w:spacing w:line="0" w:lineRule="atLeast"/>
        <w:rPr>
          <w:rFonts w:ascii="仿宋" w:hAnsi="仿宋" w:eastAsia="仿宋" w:cs="仿宋"/>
          <w:b/>
          <w:bCs/>
          <w:color w:val="000000"/>
        </w:rPr>
      </w:pPr>
    </w:p>
    <w:p w14:paraId="77E04CE2">
      <w:pPr>
        <w:spacing w:line="0" w:lineRule="atLeast"/>
        <w:rPr>
          <w:rFonts w:ascii="仿宋" w:hAnsi="仿宋" w:eastAsia="仿宋" w:cs="仿宋"/>
          <w:b/>
          <w:bCs/>
          <w:color w:val="000000"/>
        </w:rPr>
      </w:pPr>
    </w:p>
    <w:p w14:paraId="479AAF4D">
      <w:pPr>
        <w:spacing w:line="0" w:lineRule="atLeast"/>
        <w:ind w:firstLine="420" w:firstLineChars="200"/>
        <w:rPr>
          <w:rFonts w:ascii="仿宋" w:hAnsi="仿宋" w:eastAsia="仿宋" w:cs="仿宋"/>
          <w:b/>
          <w:bCs/>
          <w:color w:val="000000"/>
        </w:rPr>
      </w:pPr>
      <w:r>
        <w:rPr>
          <w:rFonts w:hint="eastAsia" w:ascii="仿宋" w:hAnsi="仿宋" w:eastAsia="仿宋" w:cs="仿宋"/>
          <w:b/>
          <w:bCs/>
          <w:color w:val="000000"/>
        </w:rPr>
        <w:t>价格构成或报价要求：</w:t>
      </w:r>
    </w:p>
    <w:p w14:paraId="1582ED01">
      <w:pPr>
        <w:spacing w:line="0" w:lineRule="atLeast"/>
        <w:ind w:left="210" w:leftChars="100" w:firstLine="420" w:firstLineChars="200"/>
        <w:rPr>
          <w:rFonts w:ascii="仿宋" w:hAnsi="仿宋" w:eastAsia="仿宋" w:cs="仿宋"/>
          <w:color w:val="000000"/>
        </w:rPr>
      </w:pPr>
      <w:r>
        <w:rPr>
          <w:rFonts w:hint="eastAsia" w:ascii="仿宋" w:hAnsi="仿宋" w:eastAsia="仿宋" w:cs="仿宋"/>
          <w:color w:val="000000"/>
        </w:rPr>
        <w:t>1、此表为表样，行数可自行添加，但表式不变；</w:t>
      </w:r>
    </w:p>
    <w:p w14:paraId="2BAB92D0">
      <w:pPr>
        <w:spacing w:line="0" w:lineRule="atLeast"/>
        <w:ind w:left="210" w:leftChars="100" w:firstLine="420" w:firstLineChars="200"/>
        <w:rPr>
          <w:rFonts w:ascii="仿宋" w:hAnsi="仿宋" w:eastAsia="仿宋" w:cs="仿宋"/>
          <w:color w:val="000000"/>
        </w:rPr>
      </w:pPr>
      <w:r>
        <w:rPr>
          <w:rFonts w:hint="eastAsia" w:ascii="仿宋" w:hAnsi="仿宋" w:eastAsia="仿宋" w:cs="仿宋"/>
          <w:color w:val="000000"/>
        </w:rPr>
        <w:t>2、后续服务及其他所有费用由供应商自行计算填列；</w:t>
      </w:r>
    </w:p>
    <w:p w14:paraId="1291C998">
      <w:pPr>
        <w:spacing w:line="0" w:lineRule="atLeast"/>
        <w:ind w:left="210" w:leftChars="100" w:firstLine="420" w:firstLineChars="200"/>
        <w:rPr>
          <w:rFonts w:ascii="仿宋" w:hAnsi="仿宋" w:eastAsia="仿宋" w:cs="仿宋"/>
          <w:color w:val="000000"/>
        </w:rPr>
      </w:pPr>
      <w:r>
        <w:rPr>
          <w:rFonts w:hint="eastAsia" w:ascii="仿宋" w:hAnsi="仿宋" w:eastAsia="仿宋" w:cs="仿宋"/>
          <w:color w:val="000000"/>
        </w:rPr>
        <w:t>3、上表中的“报价总计”应当等于“报价一览表”中“总报价”。</w:t>
      </w:r>
    </w:p>
    <w:p w14:paraId="47502554">
      <w:pPr>
        <w:ind w:firstLine="480" w:firstLineChars="200"/>
        <w:rPr>
          <w:rFonts w:ascii="仿宋" w:hAnsi="仿宋" w:eastAsia="仿宋" w:cs="仿宋"/>
          <w:color w:val="000000"/>
          <w:sz w:val="24"/>
        </w:rPr>
      </w:pPr>
    </w:p>
    <w:p w14:paraId="7CD8DB6A">
      <w:pPr>
        <w:pStyle w:val="19"/>
        <w:ind w:firstLine="480"/>
        <w:rPr>
          <w:rFonts w:ascii="仿宋" w:hAnsi="仿宋" w:eastAsia="仿宋" w:cs="仿宋"/>
          <w:color w:val="000000"/>
          <w:sz w:val="24"/>
        </w:rPr>
      </w:pPr>
    </w:p>
    <w:p w14:paraId="3378DED8">
      <w:pPr>
        <w:rPr>
          <w:rFonts w:ascii="仿宋" w:hAnsi="仿宋" w:eastAsia="仿宋" w:cs="仿宋"/>
          <w:color w:val="000000"/>
          <w:sz w:val="24"/>
        </w:rPr>
      </w:pPr>
    </w:p>
    <w:p w14:paraId="28EB12E4">
      <w:pPr>
        <w:pStyle w:val="19"/>
        <w:ind w:firstLine="480"/>
        <w:rPr>
          <w:rFonts w:ascii="仿宋" w:hAnsi="仿宋" w:eastAsia="仿宋" w:cs="仿宋"/>
          <w:color w:val="000000"/>
          <w:sz w:val="24"/>
        </w:rPr>
      </w:pPr>
    </w:p>
    <w:p w14:paraId="69FDB5A6">
      <w:pPr>
        <w:rPr>
          <w:rFonts w:ascii="仿宋" w:hAnsi="仿宋" w:eastAsia="仿宋" w:cs="仿宋"/>
          <w:color w:val="000000"/>
          <w:sz w:val="24"/>
        </w:rPr>
      </w:pPr>
    </w:p>
    <w:p w14:paraId="22B23263">
      <w:pPr>
        <w:pStyle w:val="19"/>
        <w:ind w:firstLine="480"/>
        <w:rPr>
          <w:rFonts w:ascii="仿宋" w:hAnsi="仿宋" w:eastAsia="仿宋" w:cs="仿宋"/>
          <w:color w:val="000000"/>
          <w:sz w:val="24"/>
        </w:rPr>
      </w:pPr>
    </w:p>
    <w:p w14:paraId="53CFF0F5">
      <w:pPr>
        <w:rPr>
          <w:rFonts w:ascii="仿宋" w:hAnsi="仿宋" w:eastAsia="仿宋" w:cs="仿宋"/>
          <w:color w:val="000000"/>
          <w:sz w:val="24"/>
        </w:rPr>
      </w:pPr>
    </w:p>
    <w:p w14:paraId="72277C90">
      <w:pPr>
        <w:pStyle w:val="30"/>
        <w:pageBreakBefore/>
        <w:numPr>
          <w:ilvl w:val="0"/>
          <w:numId w:val="0"/>
        </w:numPr>
        <w:spacing w:line="360" w:lineRule="auto"/>
        <w:jc w:val="center"/>
        <w:outlineLvl w:val="0"/>
        <w:rPr>
          <w:rFonts w:ascii="仿宋" w:hAnsi="仿宋" w:eastAsia="仿宋" w:cs="仿宋"/>
          <w:color w:val="000000"/>
          <w:sz w:val="32"/>
          <w:szCs w:val="32"/>
        </w:rPr>
      </w:pPr>
      <w:bookmarkStart w:id="293" w:name="_Toc29195"/>
      <w:bookmarkStart w:id="294" w:name="_Toc31472"/>
      <w:bookmarkStart w:id="295" w:name="_Toc30778"/>
      <w:bookmarkStart w:id="296" w:name="_Toc13636"/>
      <w:bookmarkStart w:id="297" w:name="_Toc15205"/>
      <w:bookmarkStart w:id="298" w:name="_Toc9513"/>
      <w:bookmarkStart w:id="299" w:name="_Toc5653"/>
      <w:bookmarkStart w:id="300" w:name="_Toc4032"/>
      <w:bookmarkStart w:id="301" w:name="_Toc25170488"/>
      <w:bookmarkStart w:id="302" w:name="_Toc7219"/>
      <w:bookmarkStart w:id="303" w:name="_Toc11954"/>
      <w:bookmarkStart w:id="304" w:name="_Toc17941"/>
      <w:bookmarkStart w:id="305" w:name="_Toc3393"/>
      <w:bookmarkStart w:id="306" w:name="_Toc19435"/>
      <w:bookmarkStart w:id="307" w:name="_Toc857"/>
      <w:r>
        <w:rPr>
          <w:rFonts w:hint="eastAsia" w:ascii="仿宋" w:hAnsi="仿宋" w:eastAsia="仿宋" w:cs="仿宋"/>
          <w:color w:val="000000"/>
          <w:sz w:val="32"/>
          <w:szCs w:val="32"/>
        </w:rPr>
        <w:t>四、商务要求响应表</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791596E5">
      <w:pPr>
        <w:rPr>
          <w:rFonts w:ascii="仿宋" w:hAnsi="仿宋" w:eastAsia="仿宋" w:cs="仿宋"/>
          <w:color w:val="000000"/>
        </w:rPr>
      </w:pPr>
    </w:p>
    <w:tbl>
      <w:tblPr>
        <w:tblStyle w:val="20"/>
        <w:tblW w:w="951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97"/>
        <w:gridCol w:w="1614"/>
        <w:gridCol w:w="2681"/>
        <w:gridCol w:w="2963"/>
        <w:gridCol w:w="1556"/>
      </w:tblGrid>
      <w:tr w14:paraId="41F136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3616C7CA">
            <w:pPr>
              <w:widowControl/>
              <w:spacing w:line="360" w:lineRule="auto"/>
              <w:jc w:val="left"/>
              <w:textAlignment w:val="center"/>
              <w:rPr>
                <w:rFonts w:ascii="仿宋" w:hAnsi="仿宋" w:eastAsia="仿宋" w:cs="仿宋"/>
                <w:color w:val="000000"/>
                <w:sz w:val="22"/>
                <w:szCs w:val="22"/>
              </w:rPr>
            </w:pPr>
            <w:r>
              <w:rPr>
                <w:rFonts w:hint="eastAsia" w:ascii="仿宋" w:hAnsi="仿宋" w:eastAsia="仿宋" w:cs="仿宋"/>
                <w:color w:val="000000"/>
                <w:sz w:val="22"/>
                <w:szCs w:val="22"/>
              </w:rPr>
              <w:t>序号</w:t>
            </w:r>
          </w:p>
        </w:tc>
        <w:tc>
          <w:tcPr>
            <w:tcW w:w="1614" w:type="dxa"/>
            <w:tcBorders>
              <w:top w:val="single" w:color="auto" w:sz="4" w:space="0"/>
              <w:left w:val="single" w:color="auto" w:sz="4" w:space="0"/>
              <w:bottom w:val="single" w:color="auto" w:sz="4" w:space="0"/>
              <w:right w:val="single" w:color="auto" w:sz="4" w:space="0"/>
            </w:tcBorders>
            <w:vAlign w:val="center"/>
          </w:tcPr>
          <w:p w14:paraId="7DDE073C">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商务要求条目</w:t>
            </w:r>
          </w:p>
        </w:tc>
        <w:tc>
          <w:tcPr>
            <w:tcW w:w="2681" w:type="dxa"/>
            <w:tcBorders>
              <w:top w:val="single" w:color="auto" w:sz="4" w:space="0"/>
              <w:left w:val="single" w:color="auto" w:sz="4" w:space="0"/>
              <w:bottom w:val="single" w:color="auto" w:sz="4" w:space="0"/>
              <w:right w:val="single" w:color="auto" w:sz="4" w:space="0"/>
            </w:tcBorders>
            <w:vAlign w:val="center"/>
          </w:tcPr>
          <w:p w14:paraId="5C5A33E3">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磋商文件中的商务要求</w:t>
            </w:r>
          </w:p>
        </w:tc>
        <w:tc>
          <w:tcPr>
            <w:tcW w:w="2963" w:type="dxa"/>
            <w:tcBorders>
              <w:top w:val="single" w:color="auto" w:sz="4" w:space="0"/>
              <w:left w:val="single" w:color="auto" w:sz="4" w:space="0"/>
              <w:bottom w:val="single" w:color="auto" w:sz="4" w:space="0"/>
              <w:right w:val="single" w:color="auto" w:sz="4" w:space="0"/>
            </w:tcBorders>
            <w:vAlign w:val="center"/>
          </w:tcPr>
          <w:p w14:paraId="29AF5F15">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响应供应商的承诺或说明</w:t>
            </w:r>
          </w:p>
        </w:tc>
        <w:tc>
          <w:tcPr>
            <w:tcW w:w="1556" w:type="dxa"/>
            <w:tcBorders>
              <w:top w:val="single" w:color="auto" w:sz="4" w:space="0"/>
              <w:left w:val="single" w:color="auto" w:sz="4" w:space="0"/>
              <w:bottom w:val="single" w:color="auto" w:sz="4" w:space="0"/>
              <w:right w:val="single" w:color="auto" w:sz="4" w:space="0"/>
            </w:tcBorders>
            <w:vAlign w:val="center"/>
          </w:tcPr>
          <w:p w14:paraId="701C53BC">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偏离情况</w:t>
            </w:r>
          </w:p>
          <w:p w14:paraId="5112B9F5">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w:t>
            </w:r>
          </w:p>
        </w:tc>
      </w:tr>
      <w:tr w14:paraId="03A870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04C687DD">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1</w:t>
            </w:r>
          </w:p>
        </w:tc>
        <w:tc>
          <w:tcPr>
            <w:tcW w:w="1614" w:type="dxa"/>
            <w:tcBorders>
              <w:top w:val="single" w:color="auto" w:sz="4" w:space="0"/>
              <w:left w:val="single" w:color="auto" w:sz="4" w:space="0"/>
              <w:bottom w:val="single" w:color="auto" w:sz="4" w:space="0"/>
              <w:right w:val="single" w:color="auto" w:sz="4" w:space="0"/>
            </w:tcBorders>
            <w:vAlign w:val="center"/>
          </w:tcPr>
          <w:p w14:paraId="627D55E1">
            <w:pPr>
              <w:widowControl/>
              <w:spacing w:line="360" w:lineRule="auto"/>
              <w:jc w:val="left"/>
              <w:textAlignment w:val="center"/>
              <w:rPr>
                <w:rFonts w:ascii="仿宋" w:hAnsi="仿宋" w:eastAsia="仿宋" w:cs="仿宋"/>
                <w:color w:val="000000"/>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64D3346E">
            <w:pPr>
              <w:widowControl/>
              <w:spacing w:line="360" w:lineRule="auto"/>
              <w:jc w:val="left"/>
              <w:textAlignment w:val="center"/>
              <w:rPr>
                <w:rFonts w:ascii="仿宋" w:hAnsi="仿宋" w:eastAsia="仿宋" w:cs="仿宋"/>
                <w:color w:val="000000"/>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2DC41078">
            <w:pPr>
              <w:widowControl/>
              <w:spacing w:line="360" w:lineRule="auto"/>
              <w:jc w:val="left"/>
              <w:textAlignment w:val="center"/>
              <w:rPr>
                <w:rFonts w:ascii="仿宋" w:hAnsi="仿宋" w:eastAsia="仿宋" w:cs="仿宋"/>
                <w:color w:val="000000"/>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552C6293">
            <w:pPr>
              <w:widowControl/>
              <w:spacing w:line="360" w:lineRule="auto"/>
              <w:jc w:val="left"/>
              <w:textAlignment w:val="center"/>
              <w:rPr>
                <w:rFonts w:ascii="仿宋" w:hAnsi="仿宋" w:eastAsia="仿宋" w:cs="仿宋"/>
                <w:color w:val="000000"/>
                <w:sz w:val="22"/>
                <w:szCs w:val="22"/>
              </w:rPr>
            </w:pPr>
          </w:p>
        </w:tc>
      </w:tr>
      <w:tr w14:paraId="0CF7FD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163E0637">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2</w:t>
            </w:r>
          </w:p>
        </w:tc>
        <w:tc>
          <w:tcPr>
            <w:tcW w:w="1614" w:type="dxa"/>
            <w:tcBorders>
              <w:top w:val="single" w:color="auto" w:sz="4" w:space="0"/>
              <w:left w:val="single" w:color="auto" w:sz="4" w:space="0"/>
              <w:bottom w:val="single" w:color="auto" w:sz="4" w:space="0"/>
              <w:right w:val="single" w:color="auto" w:sz="4" w:space="0"/>
            </w:tcBorders>
            <w:vAlign w:val="center"/>
          </w:tcPr>
          <w:p w14:paraId="08F37C02">
            <w:pPr>
              <w:widowControl/>
              <w:spacing w:line="360" w:lineRule="auto"/>
              <w:jc w:val="left"/>
              <w:textAlignment w:val="center"/>
              <w:rPr>
                <w:rFonts w:ascii="仿宋" w:hAnsi="仿宋" w:eastAsia="仿宋" w:cs="仿宋"/>
                <w:color w:val="000000"/>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29D973A7">
            <w:pPr>
              <w:widowControl/>
              <w:spacing w:line="360" w:lineRule="auto"/>
              <w:jc w:val="left"/>
              <w:textAlignment w:val="center"/>
              <w:rPr>
                <w:rFonts w:ascii="仿宋" w:hAnsi="仿宋" w:eastAsia="仿宋" w:cs="仿宋"/>
                <w:color w:val="000000"/>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54C71B51">
            <w:pPr>
              <w:widowControl/>
              <w:spacing w:line="360" w:lineRule="auto"/>
              <w:jc w:val="left"/>
              <w:textAlignment w:val="center"/>
              <w:rPr>
                <w:rFonts w:ascii="仿宋" w:hAnsi="仿宋" w:eastAsia="仿宋" w:cs="仿宋"/>
                <w:color w:val="000000"/>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7126B03A">
            <w:pPr>
              <w:widowControl/>
              <w:spacing w:line="360" w:lineRule="auto"/>
              <w:jc w:val="left"/>
              <w:textAlignment w:val="center"/>
              <w:rPr>
                <w:rFonts w:ascii="仿宋" w:hAnsi="仿宋" w:eastAsia="仿宋" w:cs="仿宋"/>
                <w:color w:val="000000"/>
                <w:sz w:val="22"/>
                <w:szCs w:val="22"/>
              </w:rPr>
            </w:pPr>
          </w:p>
        </w:tc>
      </w:tr>
      <w:tr w14:paraId="00E123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6DC062E6">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3</w:t>
            </w:r>
          </w:p>
        </w:tc>
        <w:tc>
          <w:tcPr>
            <w:tcW w:w="1614" w:type="dxa"/>
            <w:tcBorders>
              <w:top w:val="single" w:color="auto" w:sz="4" w:space="0"/>
              <w:left w:val="single" w:color="auto" w:sz="4" w:space="0"/>
              <w:bottom w:val="single" w:color="auto" w:sz="4" w:space="0"/>
              <w:right w:val="single" w:color="auto" w:sz="4" w:space="0"/>
            </w:tcBorders>
            <w:vAlign w:val="center"/>
          </w:tcPr>
          <w:p w14:paraId="5C0D03C9">
            <w:pPr>
              <w:widowControl/>
              <w:spacing w:line="360" w:lineRule="auto"/>
              <w:jc w:val="left"/>
              <w:textAlignment w:val="center"/>
              <w:rPr>
                <w:rFonts w:ascii="仿宋" w:hAnsi="仿宋" w:eastAsia="仿宋" w:cs="仿宋"/>
                <w:color w:val="000000"/>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0FB337BD">
            <w:pPr>
              <w:widowControl/>
              <w:spacing w:line="360" w:lineRule="auto"/>
              <w:jc w:val="left"/>
              <w:textAlignment w:val="center"/>
              <w:rPr>
                <w:rFonts w:ascii="仿宋" w:hAnsi="仿宋" w:eastAsia="仿宋" w:cs="仿宋"/>
                <w:color w:val="000000"/>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2FCA4F0B">
            <w:pPr>
              <w:widowControl/>
              <w:spacing w:line="360" w:lineRule="auto"/>
              <w:jc w:val="left"/>
              <w:textAlignment w:val="center"/>
              <w:rPr>
                <w:rFonts w:ascii="仿宋" w:hAnsi="仿宋" w:eastAsia="仿宋" w:cs="仿宋"/>
                <w:color w:val="000000"/>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3D3D79E1">
            <w:pPr>
              <w:widowControl/>
              <w:spacing w:line="360" w:lineRule="auto"/>
              <w:jc w:val="left"/>
              <w:textAlignment w:val="center"/>
              <w:rPr>
                <w:rFonts w:ascii="仿宋" w:hAnsi="仿宋" w:eastAsia="仿宋" w:cs="仿宋"/>
                <w:color w:val="000000"/>
                <w:sz w:val="22"/>
                <w:szCs w:val="22"/>
              </w:rPr>
            </w:pPr>
          </w:p>
        </w:tc>
      </w:tr>
      <w:tr w14:paraId="08ED14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6A4D4A1F">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4</w:t>
            </w:r>
          </w:p>
        </w:tc>
        <w:tc>
          <w:tcPr>
            <w:tcW w:w="1614" w:type="dxa"/>
            <w:tcBorders>
              <w:top w:val="single" w:color="auto" w:sz="4" w:space="0"/>
              <w:left w:val="single" w:color="auto" w:sz="4" w:space="0"/>
              <w:bottom w:val="single" w:color="auto" w:sz="4" w:space="0"/>
              <w:right w:val="single" w:color="auto" w:sz="4" w:space="0"/>
            </w:tcBorders>
            <w:vAlign w:val="center"/>
          </w:tcPr>
          <w:p w14:paraId="3C9DBB1F">
            <w:pPr>
              <w:widowControl/>
              <w:spacing w:line="360" w:lineRule="auto"/>
              <w:jc w:val="left"/>
              <w:textAlignment w:val="center"/>
              <w:rPr>
                <w:rFonts w:ascii="仿宋" w:hAnsi="仿宋" w:eastAsia="仿宋" w:cs="仿宋"/>
                <w:color w:val="000000"/>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0DA05D52">
            <w:pPr>
              <w:widowControl/>
              <w:spacing w:line="360" w:lineRule="auto"/>
              <w:jc w:val="left"/>
              <w:textAlignment w:val="center"/>
              <w:rPr>
                <w:rFonts w:ascii="仿宋" w:hAnsi="仿宋" w:eastAsia="仿宋" w:cs="仿宋"/>
                <w:color w:val="000000"/>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6402CC47">
            <w:pPr>
              <w:widowControl/>
              <w:spacing w:line="360" w:lineRule="auto"/>
              <w:jc w:val="left"/>
              <w:textAlignment w:val="center"/>
              <w:rPr>
                <w:rFonts w:ascii="仿宋" w:hAnsi="仿宋" w:eastAsia="仿宋" w:cs="仿宋"/>
                <w:color w:val="000000"/>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57E57A2E">
            <w:pPr>
              <w:widowControl/>
              <w:spacing w:line="360" w:lineRule="auto"/>
              <w:jc w:val="left"/>
              <w:textAlignment w:val="center"/>
              <w:rPr>
                <w:rFonts w:ascii="仿宋" w:hAnsi="仿宋" w:eastAsia="仿宋" w:cs="仿宋"/>
                <w:color w:val="000000"/>
                <w:sz w:val="22"/>
                <w:szCs w:val="22"/>
              </w:rPr>
            </w:pPr>
          </w:p>
        </w:tc>
      </w:tr>
      <w:tr w14:paraId="4174AB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48162717">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5</w:t>
            </w:r>
          </w:p>
        </w:tc>
        <w:tc>
          <w:tcPr>
            <w:tcW w:w="1614" w:type="dxa"/>
            <w:tcBorders>
              <w:top w:val="single" w:color="auto" w:sz="4" w:space="0"/>
              <w:left w:val="single" w:color="auto" w:sz="4" w:space="0"/>
              <w:bottom w:val="single" w:color="auto" w:sz="4" w:space="0"/>
              <w:right w:val="single" w:color="auto" w:sz="4" w:space="0"/>
            </w:tcBorders>
            <w:vAlign w:val="center"/>
          </w:tcPr>
          <w:p w14:paraId="37219DD3">
            <w:pPr>
              <w:widowControl/>
              <w:spacing w:line="360" w:lineRule="auto"/>
              <w:jc w:val="left"/>
              <w:textAlignment w:val="center"/>
              <w:rPr>
                <w:rFonts w:ascii="仿宋" w:hAnsi="仿宋" w:eastAsia="仿宋" w:cs="仿宋"/>
                <w:color w:val="000000"/>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4DF2FE43">
            <w:pPr>
              <w:widowControl/>
              <w:spacing w:line="360" w:lineRule="auto"/>
              <w:jc w:val="left"/>
              <w:textAlignment w:val="center"/>
              <w:rPr>
                <w:rFonts w:ascii="仿宋" w:hAnsi="仿宋" w:eastAsia="仿宋" w:cs="仿宋"/>
                <w:color w:val="000000"/>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2573F52F">
            <w:pPr>
              <w:widowControl/>
              <w:spacing w:line="360" w:lineRule="auto"/>
              <w:jc w:val="left"/>
              <w:textAlignment w:val="center"/>
              <w:rPr>
                <w:rFonts w:ascii="仿宋" w:hAnsi="仿宋" w:eastAsia="仿宋" w:cs="仿宋"/>
                <w:color w:val="000000"/>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79144AE1">
            <w:pPr>
              <w:widowControl/>
              <w:spacing w:line="360" w:lineRule="auto"/>
              <w:jc w:val="left"/>
              <w:textAlignment w:val="center"/>
              <w:rPr>
                <w:rFonts w:ascii="仿宋" w:hAnsi="仿宋" w:eastAsia="仿宋" w:cs="仿宋"/>
                <w:color w:val="000000"/>
                <w:sz w:val="22"/>
                <w:szCs w:val="22"/>
              </w:rPr>
            </w:pPr>
          </w:p>
        </w:tc>
      </w:tr>
      <w:tr w14:paraId="6CF870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77DEE69C">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6</w:t>
            </w:r>
          </w:p>
        </w:tc>
        <w:tc>
          <w:tcPr>
            <w:tcW w:w="1614" w:type="dxa"/>
            <w:tcBorders>
              <w:top w:val="single" w:color="auto" w:sz="4" w:space="0"/>
              <w:left w:val="single" w:color="auto" w:sz="4" w:space="0"/>
              <w:bottom w:val="single" w:color="auto" w:sz="4" w:space="0"/>
              <w:right w:val="single" w:color="auto" w:sz="4" w:space="0"/>
            </w:tcBorders>
            <w:vAlign w:val="center"/>
          </w:tcPr>
          <w:p w14:paraId="21F87232">
            <w:pPr>
              <w:widowControl/>
              <w:spacing w:line="360" w:lineRule="auto"/>
              <w:jc w:val="left"/>
              <w:textAlignment w:val="center"/>
              <w:rPr>
                <w:rFonts w:ascii="仿宋" w:hAnsi="仿宋" w:eastAsia="仿宋" w:cs="仿宋"/>
                <w:color w:val="000000"/>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25DC3121">
            <w:pPr>
              <w:widowControl/>
              <w:spacing w:line="360" w:lineRule="auto"/>
              <w:jc w:val="left"/>
              <w:textAlignment w:val="center"/>
              <w:rPr>
                <w:rFonts w:ascii="仿宋" w:hAnsi="仿宋" w:eastAsia="仿宋" w:cs="仿宋"/>
                <w:color w:val="000000"/>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50454D4E">
            <w:pPr>
              <w:widowControl/>
              <w:spacing w:line="360" w:lineRule="auto"/>
              <w:jc w:val="left"/>
              <w:textAlignment w:val="center"/>
              <w:rPr>
                <w:rFonts w:ascii="仿宋" w:hAnsi="仿宋" w:eastAsia="仿宋" w:cs="仿宋"/>
                <w:color w:val="000000"/>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7C797D27">
            <w:pPr>
              <w:widowControl/>
              <w:spacing w:line="360" w:lineRule="auto"/>
              <w:jc w:val="left"/>
              <w:textAlignment w:val="center"/>
              <w:rPr>
                <w:rFonts w:ascii="仿宋" w:hAnsi="仿宋" w:eastAsia="仿宋" w:cs="仿宋"/>
                <w:color w:val="000000"/>
                <w:sz w:val="22"/>
                <w:szCs w:val="22"/>
              </w:rPr>
            </w:pPr>
          </w:p>
        </w:tc>
      </w:tr>
      <w:tr w14:paraId="6A2595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6D18567F">
            <w:pPr>
              <w:widowControl/>
              <w:spacing w:line="360" w:lineRule="auto"/>
              <w:jc w:val="center"/>
              <w:textAlignment w:val="center"/>
              <w:rPr>
                <w:rFonts w:ascii="仿宋" w:hAnsi="仿宋" w:eastAsia="仿宋" w:cs="仿宋"/>
                <w:color w:val="000000"/>
                <w:sz w:val="22"/>
                <w:szCs w:val="22"/>
              </w:rPr>
            </w:pPr>
          </w:p>
        </w:tc>
        <w:tc>
          <w:tcPr>
            <w:tcW w:w="1614" w:type="dxa"/>
            <w:tcBorders>
              <w:top w:val="single" w:color="auto" w:sz="4" w:space="0"/>
              <w:left w:val="single" w:color="auto" w:sz="4" w:space="0"/>
              <w:bottom w:val="single" w:color="auto" w:sz="4" w:space="0"/>
              <w:right w:val="single" w:color="auto" w:sz="4" w:space="0"/>
            </w:tcBorders>
            <w:vAlign w:val="center"/>
          </w:tcPr>
          <w:p w14:paraId="591CF018">
            <w:pPr>
              <w:widowControl/>
              <w:spacing w:line="360" w:lineRule="auto"/>
              <w:jc w:val="left"/>
              <w:textAlignment w:val="center"/>
              <w:rPr>
                <w:rFonts w:ascii="仿宋" w:hAnsi="仿宋" w:eastAsia="仿宋" w:cs="仿宋"/>
                <w:color w:val="000000"/>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04B87D40">
            <w:pPr>
              <w:widowControl/>
              <w:spacing w:line="360" w:lineRule="auto"/>
              <w:jc w:val="left"/>
              <w:textAlignment w:val="center"/>
              <w:rPr>
                <w:rFonts w:ascii="仿宋" w:hAnsi="仿宋" w:eastAsia="仿宋" w:cs="仿宋"/>
                <w:color w:val="000000"/>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1ED1976F">
            <w:pPr>
              <w:widowControl/>
              <w:spacing w:line="360" w:lineRule="auto"/>
              <w:jc w:val="left"/>
              <w:textAlignment w:val="center"/>
              <w:rPr>
                <w:rFonts w:ascii="仿宋" w:hAnsi="仿宋" w:eastAsia="仿宋" w:cs="仿宋"/>
                <w:color w:val="000000"/>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72AC830B">
            <w:pPr>
              <w:widowControl/>
              <w:spacing w:line="360" w:lineRule="auto"/>
              <w:jc w:val="left"/>
              <w:textAlignment w:val="center"/>
              <w:rPr>
                <w:rFonts w:ascii="仿宋" w:hAnsi="仿宋" w:eastAsia="仿宋" w:cs="仿宋"/>
                <w:color w:val="000000"/>
                <w:sz w:val="22"/>
                <w:szCs w:val="22"/>
              </w:rPr>
            </w:pPr>
          </w:p>
        </w:tc>
      </w:tr>
      <w:tr w14:paraId="7A188A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0D9DA2F6">
            <w:pPr>
              <w:widowControl/>
              <w:spacing w:line="360" w:lineRule="auto"/>
              <w:jc w:val="left"/>
              <w:textAlignment w:val="center"/>
              <w:rPr>
                <w:rFonts w:ascii="仿宋" w:hAnsi="仿宋" w:eastAsia="仿宋" w:cs="仿宋"/>
                <w:color w:val="000000"/>
                <w:sz w:val="22"/>
                <w:szCs w:val="22"/>
              </w:rPr>
            </w:pPr>
          </w:p>
        </w:tc>
        <w:tc>
          <w:tcPr>
            <w:tcW w:w="1614" w:type="dxa"/>
            <w:tcBorders>
              <w:top w:val="single" w:color="auto" w:sz="4" w:space="0"/>
              <w:left w:val="single" w:color="auto" w:sz="4" w:space="0"/>
              <w:bottom w:val="single" w:color="auto" w:sz="4" w:space="0"/>
              <w:right w:val="single" w:color="auto" w:sz="4" w:space="0"/>
            </w:tcBorders>
            <w:vAlign w:val="center"/>
          </w:tcPr>
          <w:p w14:paraId="109AB1BE">
            <w:pPr>
              <w:widowControl/>
              <w:spacing w:line="360" w:lineRule="auto"/>
              <w:jc w:val="left"/>
              <w:textAlignment w:val="center"/>
              <w:rPr>
                <w:rFonts w:ascii="仿宋" w:hAnsi="仿宋" w:eastAsia="仿宋" w:cs="仿宋"/>
                <w:color w:val="000000"/>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20BFCBCC">
            <w:pPr>
              <w:widowControl/>
              <w:spacing w:line="360" w:lineRule="auto"/>
              <w:jc w:val="left"/>
              <w:textAlignment w:val="center"/>
              <w:rPr>
                <w:rFonts w:ascii="仿宋" w:hAnsi="仿宋" w:eastAsia="仿宋" w:cs="仿宋"/>
                <w:color w:val="000000"/>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5745A6C5">
            <w:pPr>
              <w:widowControl/>
              <w:spacing w:line="360" w:lineRule="auto"/>
              <w:jc w:val="left"/>
              <w:textAlignment w:val="center"/>
              <w:rPr>
                <w:rFonts w:ascii="仿宋" w:hAnsi="仿宋" w:eastAsia="仿宋" w:cs="仿宋"/>
                <w:color w:val="000000"/>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5C065A75">
            <w:pPr>
              <w:widowControl/>
              <w:spacing w:line="360" w:lineRule="auto"/>
              <w:jc w:val="left"/>
              <w:textAlignment w:val="center"/>
              <w:rPr>
                <w:rFonts w:ascii="仿宋" w:hAnsi="仿宋" w:eastAsia="仿宋" w:cs="仿宋"/>
                <w:color w:val="000000"/>
                <w:sz w:val="22"/>
                <w:szCs w:val="22"/>
              </w:rPr>
            </w:pPr>
          </w:p>
        </w:tc>
      </w:tr>
    </w:tbl>
    <w:p w14:paraId="3F2F876C">
      <w:pPr>
        <w:tabs>
          <w:tab w:val="left" w:pos="142"/>
        </w:tabs>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供应商名称（加盖公章）：</w:t>
      </w:r>
    </w:p>
    <w:p w14:paraId="2FC442F7">
      <w:pPr>
        <w:tabs>
          <w:tab w:val="left" w:pos="142"/>
        </w:tabs>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法定代表人（授权代表）签章：</w:t>
      </w:r>
    </w:p>
    <w:p w14:paraId="299A3121">
      <w:pPr>
        <w:tabs>
          <w:tab w:val="left" w:pos="142"/>
        </w:tabs>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w:t>
      </w:r>
    </w:p>
    <w:p w14:paraId="1457F1C0">
      <w:pPr>
        <w:tabs>
          <w:tab w:val="left" w:pos="142"/>
        </w:tabs>
        <w:spacing w:line="360" w:lineRule="auto"/>
        <w:ind w:firstLine="480" w:firstLineChars="200"/>
        <w:jc w:val="left"/>
        <w:rPr>
          <w:rFonts w:ascii="仿宋" w:hAnsi="仿宋" w:eastAsia="仿宋" w:cs="仿宋"/>
          <w:color w:val="000000"/>
          <w:sz w:val="24"/>
          <w:szCs w:val="24"/>
        </w:rPr>
      </w:pPr>
    </w:p>
    <w:p w14:paraId="0D1BF0EB">
      <w:pPr>
        <w:pStyle w:val="19"/>
        <w:ind w:firstLine="480"/>
        <w:rPr>
          <w:rFonts w:ascii="仿宋" w:hAnsi="仿宋" w:eastAsia="仿宋" w:cs="仿宋"/>
          <w:color w:val="000000"/>
          <w:sz w:val="24"/>
          <w:szCs w:val="24"/>
        </w:rPr>
      </w:pPr>
    </w:p>
    <w:p w14:paraId="79B7DD55">
      <w:pPr>
        <w:rPr>
          <w:rFonts w:ascii="仿宋" w:hAnsi="仿宋" w:eastAsia="仿宋" w:cs="仿宋"/>
          <w:color w:val="000000"/>
        </w:rPr>
      </w:pPr>
    </w:p>
    <w:p w14:paraId="5A7D461D">
      <w:pPr>
        <w:pStyle w:val="19"/>
        <w:ind w:firstLine="480"/>
        <w:rPr>
          <w:rFonts w:ascii="仿宋" w:hAnsi="仿宋" w:eastAsia="仿宋" w:cs="仿宋"/>
          <w:color w:val="000000"/>
          <w:sz w:val="24"/>
          <w:szCs w:val="24"/>
        </w:rPr>
      </w:pPr>
    </w:p>
    <w:p w14:paraId="7F0905C6">
      <w:pPr>
        <w:rPr>
          <w:rFonts w:ascii="仿宋" w:hAnsi="仿宋" w:eastAsia="仿宋" w:cs="仿宋"/>
          <w:color w:val="000000"/>
        </w:rPr>
      </w:pPr>
    </w:p>
    <w:p w14:paraId="21751746">
      <w:pPr>
        <w:spacing w:line="0" w:lineRule="atLeast"/>
        <w:ind w:left="210" w:leftChars="100"/>
        <w:rPr>
          <w:rFonts w:ascii="仿宋" w:hAnsi="仿宋" w:eastAsia="仿宋" w:cs="仿宋"/>
          <w:color w:val="000000"/>
        </w:rPr>
      </w:pPr>
      <w:bookmarkStart w:id="308" w:name="_Toc11058"/>
      <w:bookmarkStart w:id="309" w:name="_Toc5273"/>
      <w:bookmarkStart w:id="310" w:name="_Toc23648"/>
      <w:bookmarkStart w:id="311" w:name="_Toc14697"/>
      <w:bookmarkStart w:id="312" w:name="_Toc7905"/>
      <w:bookmarkStart w:id="313" w:name="_Toc18307"/>
      <w:bookmarkStart w:id="314" w:name="_Toc17110"/>
    </w:p>
    <w:p w14:paraId="22FDECFE">
      <w:pPr>
        <w:spacing w:line="0" w:lineRule="atLeast"/>
        <w:ind w:left="210" w:leftChars="100"/>
        <w:rPr>
          <w:rFonts w:ascii="仿宋" w:hAnsi="仿宋" w:eastAsia="仿宋" w:cs="仿宋"/>
          <w:color w:val="000000"/>
        </w:rPr>
      </w:pPr>
    </w:p>
    <w:p w14:paraId="71305DAD">
      <w:pPr>
        <w:spacing w:line="0" w:lineRule="atLeast"/>
        <w:ind w:left="210" w:leftChars="100"/>
        <w:rPr>
          <w:rFonts w:ascii="仿宋" w:hAnsi="仿宋" w:eastAsia="仿宋" w:cs="仿宋"/>
          <w:color w:val="000000"/>
        </w:rPr>
      </w:pPr>
      <w:r>
        <w:rPr>
          <w:rFonts w:hint="eastAsia" w:ascii="仿宋" w:hAnsi="仿宋" w:eastAsia="仿宋" w:cs="仿宋"/>
          <w:color w:val="000000"/>
        </w:rPr>
        <w:t>填写说明：</w:t>
      </w:r>
    </w:p>
    <w:p w14:paraId="52A36425">
      <w:pPr>
        <w:spacing w:line="0" w:lineRule="atLeast"/>
        <w:ind w:left="210" w:leftChars="100"/>
        <w:rPr>
          <w:rFonts w:ascii="仿宋" w:hAnsi="仿宋" w:eastAsia="仿宋" w:cs="仿宋"/>
          <w:color w:val="000000"/>
        </w:rPr>
      </w:pPr>
      <w:r>
        <w:rPr>
          <w:rFonts w:hint="eastAsia" w:ascii="仿宋" w:hAnsi="仿宋" w:eastAsia="仿宋" w:cs="仿宋"/>
          <w:color w:val="000000"/>
        </w:rPr>
        <w:fldChar w:fldCharType="begin"/>
      </w:r>
      <w:r>
        <w:rPr>
          <w:rFonts w:hint="eastAsia" w:ascii="仿宋" w:hAnsi="仿宋" w:eastAsia="仿宋" w:cs="仿宋"/>
          <w:color w:val="000000"/>
        </w:rPr>
        <w:instrText xml:space="preserve">= 1 \* GB3</w:instrText>
      </w:r>
      <w:r>
        <w:rPr>
          <w:rFonts w:hint="eastAsia" w:ascii="仿宋" w:hAnsi="仿宋" w:eastAsia="仿宋" w:cs="仿宋"/>
          <w:color w:val="000000"/>
        </w:rPr>
        <w:fldChar w:fldCharType="separate"/>
      </w:r>
      <w:r>
        <w:rPr>
          <w:rFonts w:hint="eastAsia" w:ascii="仿宋" w:hAnsi="仿宋" w:eastAsia="仿宋" w:cs="仿宋"/>
          <w:color w:val="000000"/>
        </w:rPr>
        <w:t>①</w:t>
      </w:r>
      <w:r>
        <w:rPr>
          <w:rFonts w:hint="eastAsia" w:ascii="仿宋" w:hAnsi="仿宋" w:eastAsia="仿宋" w:cs="仿宋"/>
          <w:color w:val="000000"/>
        </w:rPr>
        <w:fldChar w:fldCharType="end"/>
      </w:r>
      <w:r>
        <w:rPr>
          <w:rFonts w:hint="eastAsia" w:ascii="仿宋" w:hAnsi="仿宋" w:eastAsia="仿宋" w:cs="仿宋"/>
          <w:color w:val="000000"/>
        </w:rPr>
        <w:t>此表为表样，行数可自行添加，但表式不变。</w:t>
      </w:r>
    </w:p>
    <w:p w14:paraId="5571191B">
      <w:pPr>
        <w:spacing w:line="0" w:lineRule="atLeast"/>
        <w:ind w:left="210" w:leftChars="100"/>
        <w:rPr>
          <w:rFonts w:ascii="仿宋" w:hAnsi="仿宋" w:eastAsia="仿宋" w:cs="仿宋"/>
          <w:color w:val="000000"/>
        </w:rPr>
      </w:pPr>
      <w:r>
        <w:rPr>
          <w:rFonts w:hint="eastAsia" w:ascii="仿宋" w:hAnsi="仿宋" w:eastAsia="仿宋" w:cs="仿宋"/>
          <w:color w:val="000000"/>
        </w:rPr>
        <w:fldChar w:fldCharType="begin"/>
      </w:r>
      <w:r>
        <w:rPr>
          <w:rFonts w:hint="eastAsia" w:ascii="仿宋" w:hAnsi="仿宋" w:eastAsia="仿宋" w:cs="仿宋"/>
          <w:color w:val="000000"/>
        </w:rPr>
        <w:instrText xml:space="preserve">= 2 \* GB3</w:instrText>
      </w:r>
      <w:r>
        <w:rPr>
          <w:rFonts w:hint="eastAsia" w:ascii="仿宋" w:hAnsi="仿宋" w:eastAsia="仿宋" w:cs="仿宋"/>
          <w:color w:val="000000"/>
        </w:rPr>
        <w:fldChar w:fldCharType="separate"/>
      </w:r>
      <w:r>
        <w:rPr>
          <w:rFonts w:hint="eastAsia" w:ascii="仿宋" w:hAnsi="仿宋" w:eastAsia="仿宋" w:cs="仿宋"/>
          <w:color w:val="000000"/>
        </w:rPr>
        <w:t>②</w:t>
      </w:r>
      <w:r>
        <w:rPr>
          <w:rFonts w:hint="eastAsia" w:ascii="仿宋" w:hAnsi="仿宋" w:eastAsia="仿宋" w:cs="仿宋"/>
          <w:color w:val="000000"/>
        </w:rPr>
        <w:fldChar w:fldCharType="end"/>
      </w:r>
      <w:r>
        <w:rPr>
          <w:rFonts w:hint="eastAsia" w:ascii="仿宋" w:hAnsi="仿宋" w:eastAsia="仿宋" w:cs="仿宋"/>
          <w:color w:val="000000"/>
        </w:rPr>
        <w:t>是否偏离用符号“+、-”分别表示正偏离、负偏离。</w:t>
      </w:r>
    </w:p>
    <w:p w14:paraId="0B889FFB">
      <w:pPr>
        <w:spacing w:line="0" w:lineRule="atLeast"/>
        <w:ind w:left="210" w:leftChars="100"/>
        <w:rPr>
          <w:rFonts w:ascii="仿宋" w:hAnsi="仿宋" w:eastAsia="仿宋" w:cs="仿宋"/>
          <w:color w:val="000000"/>
        </w:rPr>
      </w:pPr>
      <w:r>
        <w:rPr>
          <w:rFonts w:hint="eastAsia" w:ascii="仿宋" w:hAnsi="仿宋" w:eastAsia="仿宋" w:cs="仿宋"/>
          <w:color w:val="000000"/>
        </w:rPr>
        <w:fldChar w:fldCharType="begin"/>
      </w:r>
      <w:r>
        <w:rPr>
          <w:rFonts w:hint="eastAsia" w:ascii="仿宋" w:hAnsi="仿宋" w:eastAsia="仿宋" w:cs="仿宋"/>
          <w:color w:val="000000"/>
        </w:rPr>
        <w:instrText xml:space="preserve">= 3 \* GB3</w:instrText>
      </w:r>
      <w:r>
        <w:rPr>
          <w:rFonts w:hint="eastAsia" w:ascii="仿宋" w:hAnsi="仿宋" w:eastAsia="仿宋" w:cs="仿宋"/>
          <w:color w:val="000000"/>
        </w:rPr>
        <w:fldChar w:fldCharType="separate"/>
      </w:r>
      <w:r>
        <w:rPr>
          <w:rFonts w:hint="eastAsia" w:ascii="仿宋" w:hAnsi="仿宋" w:eastAsia="仿宋" w:cs="仿宋"/>
          <w:color w:val="000000"/>
        </w:rPr>
        <w:t>③</w:t>
      </w:r>
      <w:r>
        <w:rPr>
          <w:rFonts w:hint="eastAsia" w:ascii="仿宋" w:hAnsi="仿宋" w:eastAsia="仿宋" w:cs="仿宋"/>
          <w:color w:val="000000"/>
        </w:rPr>
        <w:fldChar w:fldCharType="end"/>
      </w:r>
      <w:r>
        <w:rPr>
          <w:rFonts w:hint="eastAsia" w:ascii="仿宋" w:hAnsi="仿宋" w:eastAsia="仿宋" w:cs="仿宋"/>
          <w:color w:val="000000"/>
        </w:rPr>
        <w:t>供应商必须阅读本采购文件中所有商务要求，并列入上表，未列入上表的视为完全响应磋商文件要求。</w:t>
      </w:r>
    </w:p>
    <w:p w14:paraId="64EAC9E6">
      <w:pPr>
        <w:spacing w:line="0" w:lineRule="atLeast"/>
        <w:ind w:left="210" w:leftChars="100"/>
        <w:rPr>
          <w:rFonts w:ascii="仿宋" w:hAnsi="仿宋" w:eastAsia="仿宋" w:cs="仿宋"/>
          <w:color w:val="000000"/>
        </w:rPr>
      </w:pPr>
      <w:r>
        <w:rPr>
          <w:rFonts w:hint="eastAsia" w:ascii="仿宋" w:hAnsi="仿宋" w:eastAsia="仿宋" w:cs="仿宋"/>
          <w:color w:val="000000"/>
        </w:rPr>
        <w:t>④若响应文件中出现与此表表述不一致的，以此表为准。</w:t>
      </w:r>
    </w:p>
    <w:p w14:paraId="4BD2F71B">
      <w:pPr>
        <w:pStyle w:val="30"/>
        <w:pageBreakBefore/>
        <w:numPr>
          <w:ilvl w:val="0"/>
          <w:numId w:val="0"/>
        </w:numPr>
        <w:spacing w:line="360" w:lineRule="auto"/>
        <w:jc w:val="center"/>
        <w:outlineLvl w:val="0"/>
        <w:rPr>
          <w:rFonts w:ascii="仿宋" w:hAnsi="仿宋" w:eastAsia="仿宋" w:cs="仿宋"/>
          <w:color w:val="000000"/>
          <w:sz w:val="32"/>
          <w:szCs w:val="32"/>
        </w:rPr>
      </w:pPr>
      <w:bookmarkStart w:id="315" w:name="_Toc6656"/>
      <w:bookmarkStart w:id="316" w:name="_Toc20387"/>
      <w:bookmarkStart w:id="317" w:name="_Toc29227"/>
      <w:bookmarkStart w:id="318" w:name="_Toc17082"/>
      <w:bookmarkStart w:id="319" w:name="_Toc19750"/>
      <w:bookmarkStart w:id="320" w:name="_Toc6124"/>
      <w:bookmarkStart w:id="321" w:name="_Toc10337"/>
      <w:bookmarkStart w:id="322" w:name="_Toc8988"/>
      <w:bookmarkStart w:id="323" w:name="_Toc25369"/>
      <w:r>
        <w:rPr>
          <w:rFonts w:hint="eastAsia" w:ascii="仿宋" w:hAnsi="仿宋" w:eastAsia="仿宋" w:cs="仿宋"/>
          <w:color w:val="000000"/>
          <w:sz w:val="32"/>
          <w:szCs w:val="32"/>
        </w:rPr>
        <w:t>五、</w:t>
      </w:r>
      <w:bookmarkEnd w:id="308"/>
      <w:bookmarkEnd w:id="309"/>
      <w:bookmarkEnd w:id="310"/>
      <w:bookmarkEnd w:id="311"/>
      <w:bookmarkEnd w:id="312"/>
      <w:bookmarkEnd w:id="313"/>
      <w:bookmarkEnd w:id="314"/>
      <w:bookmarkEnd w:id="315"/>
      <w:bookmarkEnd w:id="316"/>
      <w:r>
        <w:rPr>
          <w:rFonts w:hint="eastAsia" w:ascii="仿宋" w:hAnsi="仿宋" w:eastAsia="仿宋" w:cs="仿宋"/>
          <w:color w:val="000000"/>
          <w:sz w:val="32"/>
          <w:szCs w:val="32"/>
        </w:rPr>
        <w:t>服务要求响应表</w:t>
      </w:r>
      <w:bookmarkEnd w:id="317"/>
      <w:bookmarkEnd w:id="318"/>
      <w:bookmarkEnd w:id="319"/>
      <w:bookmarkEnd w:id="320"/>
      <w:bookmarkEnd w:id="321"/>
      <w:bookmarkEnd w:id="322"/>
      <w:bookmarkEnd w:id="323"/>
    </w:p>
    <w:p w14:paraId="649691BF">
      <w:pPr>
        <w:rPr>
          <w:rFonts w:ascii="仿宋" w:hAnsi="仿宋" w:eastAsia="仿宋" w:cs="仿宋"/>
          <w:color w:val="000000"/>
        </w:rPr>
      </w:pPr>
    </w:p>
    <w:tbl>
      <w:tblPr>
        <w:tblStyle w:val="20"/>
        <w:tblW w:w="972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68"/>
        <w:gridCol w:w="2551"/>
        <w:gridCol w:w="1985"/>
        <w:gridCol w:w="2385"/>
      </w:tblGrid>
      <w:tr w14:paraId="256D4F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14:paraId="70BD217E">
            <w:pPr>
              <w:widowControl/>
              <w:jc w:val="left"/>
              <w:textAlignment w:val="center"/>
              <w:rPr>
                <w:rFonts w:ascii="仿宋" w:hAnsi="仿宋" w:eastAsia="仿宋" w:cs="仿宋"/>
                <w:color w:val="000000"/>
                <w:sz w:val="22"/>
                <w:szCs w:val="22"/>
              </w:rPr>
            </w:pPr>
            <w:r>
              <w:rPr>
                <w:rFonts w:hint="eastAsia" w:ascii="仿宋" w:hAnsi="仿宋" w:eastAsia="仿宋" w:cs="仿宋"/>
                <w:color w:val="000000"/>
                <w:sz w:val="22"/>
                <w:szCs w:val="22"/>
              </w:rPr>
              <w:t>序号</w:t>
            </w:r>
          </w:p>
        </w:tc>
        <w:tc>
          <w:tcPr>
            <w:tcW w:w="2268" w:type="dxa"/>
            <w:tcBorders>
              <w:top w:val="single" w:color="auto" w:sz="4" w:space="0"/>
              <w:left w:val="single" w:color="auto" w:sz="4" w:space="0"/>
              <w:bottom w:val="single" w:color="auto" w:sz="4" w:space="0"/>
              <w:right w:val="single" w:color="auto" w:sz="4" w:space="0"/>
            </w:tcBorders>
            <w:vAlign w:val="center"/>
          </w:tcPr>
          <w:p w14:paraId="08EF0386">
            <w:pPr>
              <w:widowControl/>
              <w:ind w:firstLine="440" w:firstLineChars="200"/>
              <w:jc w:val="left"/>
              <w:textAlignment w:val="center"/>
              <w:rPr>
                <w:rFonts w:ascii="仿宋" w:hAnsi="仿宋" w:eastAsia="仿宋" w:cs="仿宋"/>
                <w:color w:val="000000"/>
                <w:sz w:val="22"/>
                <w:szCs w:val="22"/>
              </w:rPr>
            </w:pPr>
            <w:r>
              <w:rPr>
                <w:rFonts w:hint="eastAsia" w:ascii="仿宋" w:hAnsi="仿宋" w:eastAsia="仿宋" w:cs="仿宋"/>
                <w:color w:val="000000"/>
                <w:sz w:val="22"/>
                <w:szCs w:val="22"/>
              </w:rPr>
              <w:t>服务需求条目</w:t>
            </w:r>
          </w:p>
        </w:tc>
        <w:tc>
          <w:tcPr>
            <w:tcW w:w="2551" w:type="dxa"/>
            <w:tcBorders>
              <w:top w:val="single" w:color="auto" w:sz="4" w:space="0"/>
              <w:left w:val="single" w:color="auto" w:sz="4" w:space="0"/>
              <w:bottom w:val="single" w:color="auto" w:sz="4" w:space="0"/>
              <w:right w:val="single" w:color="auto" w:sz="4" w:space="0"/>
            </w:tcBorders>
            <w:vAlign w:val="center"/>
          </w:tcPr>
          <w:p w14:paraId="35E002C3">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采购文件中的</w:t>
            </w:r>
          </w:p>
          <w:p w14:paraId="5C3E96D6">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服务要求</w:t>
            </w:r>
          </w:p>
        </w:tc>
        <w:tc>
          <w:tcPr>
            <w:tcW w:w="1985" w:type="dxa"/>
            <w:tcBorders>
              <w:top w:val="single" w:color="auto" w:sz="4" w:space="0"/>
              <w:left w:val="single" w:color="auto" w:sz="4" w:space="0"/>
              <w:bottom w:val="single" w:color="auto" w:sz="4" w:space="0"/>
              <w:right w:val="single" w:color="auto" w:sz="4" w:space="0"/>
            </w:tcBorders>
            <w:vAlign w:val="center"/>
          </w:tcPr>
          <w:p w14:paraId="62ECF5D9">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供应商</w:t>
            </w:r>
          </w:p>
          <w:p w14:paraId="5AEFD48A">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的承诺或说明</w:t>
            </w:r>
          </w:p>
        </w:tc>
        <w:tc>
          <w:tcPr>
            <w:tcW w:w="2385" w:type="dxa"/>
            <w:tcBorders>
              <w:top w:val="single" w:color="auto" w:sz="4" w:space="0"/>
              <w:left w:val="single" w:color="auto" w:sz="4" w:space="0"/>
              <w:bottom w:val="single" w:color="auto" w:sz="4" w:space="0"/>
              <w:right w:val="single" w:color="auto" w:sz="4" w:space="0"/>
            </w:tcBorders>
            <w:vAlign w:val="center"/>
          </w:tcPr>
          <w:p w14:paraId="5652ECC9">
            <w:pPr>
              <w:widowControl/>
              <w:jc w:val="center"/>
              <w:textAlignment w:val="center"/>
              <w:rPr>
                <w:rFonts w:ascii="仿宋" w:hAnsi="仿宋" w:eastAsia="仿宋" w:cs="仿宋"/>
                <w:color w:val="000000"/>
                <w:sz w:val="24"/>
                <w:szCs w:val="24"/>
              </w:rPr>
            </w:pPr>
            <w:r>
              <w:rPr>
                <w:rFonts w:hint="eastAsia" w:ascii="仿宋" w:hAnsi="仿宋" w:eastAsia="仿宋" w:cs="仿宋"/>
                <w:color w:val="000000"/>
                <w:sz w:val="24"/>
                <w:szCs w:val="24"/>
              </w:rPr>
              <w:t>偏离情况</w:t>
            </w:r>
          </w:p>
          <w:p w14:paraId="60F5024B">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4"/>
                <w:szCs w:val="24"/>
              </w:rPr>
              <w:t>（+/-/=）</w:t>
            </w:r>
          </w:p>
        </w:tc>
      </w:tr>
      <w:tr w14:paraId="17B334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14:paraId="3D7A9F64">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1</w:t>
            </w:r>
          </w:p>
        </w:tc>
        <w:tc>
          <w:tcPr>
            <w:tcW w:w="2268" w:type="dxa"/>
            <w:tcBorders>
              <w:top w:val="single" w:color="auto" w:sz="4" w:space="0"/>
              <w:left w:val="single" w:color="auto" w:sz="4" w:space="0"/>
              <w:bottom w:val="single" w:color="auto" w:sz="4" w:space="0"/>
              <w:right w:val="single" w:color="auto" w:sz="4" w:space="0"/>
            </w:tcBorders>
            <w:vAlign w:val="center"/>
          </w:tcPr>
          <w:p w14:paraId="0AE93E50">
            <w:pPr>
              <w:widowControl/>
              <w:jc w:val="left"/>
              <w:textAlignment w:val="center"/>
              <w:rPr>
                <w:rFonts w:ascii="仿宋" w:hAnsi="仿宋" w:eastAsia="仿宋" w:cs="仿宋"/>
                <w:color w:val="000000"/>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14:paraId="565920D8">
            <w:pPr>
              <w:widowControl/>
              <w:jc w:val="left"/>
              <w:textAlignment w:val="center"/>
              <w:rPr>
                <w:rFonts w:ascii="仿宋" w:hAnsi="仿宋" w:eastAsia="仿宋" w:cs="仿宋"/>
                <w:color w:val="000000"/>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14:paraId="3D02927D">
            <w:pPr>
              <w:widowControl/>
              <w:jc w:val="left"/>
              <w:textAlignment w:val="center"/>
              <w:rPr>
                <w:rFonts w:ascii="仿宋" w:hAnsi="仿宋" w:eastAsia="仿宋" w:cs="仿宋"/>
                <w:color w:val="000000"/>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14:paraId="004A085C">
            <w:pPr>
              <w:widowControl/>
              <w:jc w:val="left"/>
              <w:textAlignment w:val="center"/>
              <w:rPr>
                <w:rFonts w:ascii="仿宋" w:hAnsi="仿宋" w:eastAsia="仿宋" w:cs="仿宋"/>
                <w:color w:val="000000"/>
                <w:sz w:val="22"/>
                <w:szCs w:val="22"/>
              </w:rPr>
            </w:pPr>
          </w:p>
        </w:tc>
      </w:tr>
      <w:tr w14:paraId="2F3820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14:paraId="41514B3E">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2</w:t>
            </w:r>
          </w:p>
        </w:tc>
        <w:tc>
          <w:tcPr>
            <w:tcW w:w="2268" w:type="dxa"/>
            <w:tcBorders>
              <w:top w:val="single" w:color="auto" w:sz="4" w:space="0"/>
              <w:left w:val="single" w:color="auto" w:sz="4" w:space="0"/>
              <w:bottom w:val="single" w:color="auto" w:sz="4" w:space="0"/>
              <w:right w:val="single" w:color="auto" w:sz="4" w:space="0"/>
            </w:tcBorders>
            <w:vAlign w:val="center"/>
          </w:tcPr>
          <w:p w14:paraId="3ED2D30B">
            <w:pPr>
              <w:widowControl/>
              <w:jc w:val="left"/>
              <w:textAlignment w:val="center"/>
              <w:rPr>
                <w:rFonts w:ascii="仿宋" w:hAnsi="仿宋" w:eastAsia="仿宋" w:cs="仿宋"/>
                <w:color w:val="000000"/>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14:paraId="5F884E32">
            <w:pPr>
              <w:widowControl/>
              <w:jc w:val="left"/>
              <w:textAlignment w:val="center"/>
              <w:rPr>
                <w:rFonts w:ascii="仿宋" w:hAnsi="仿宋" w:eastAsia="仿宋" w:cs="仿宋"/>
                <w:color w:val="000000"/>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14:paraId="18C03999">
            <w:pPr>
              <w:widowControl/>
              <w:jc w:val="left"/>
              <w:textAlignment w:val="center"/>
              <w:rPr>
                <w:rFonts w:ascii="仿宋" w:hAnsi="仿宋" w:eastAsia="仿宋" w:cs="仿宋"/>
                <w:color w:val="000000"/>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14:paraId="05AF73EE">
            <w:pPr>
              <w:widowControl/>
              <w:jc w:val="left"/>
              <w:textAlignment w:val="center"/>
              <w:rPr>
                <w:rFonts w:ascii="仿宋" w:hAnsi="仿宋" w:eastAsia="仿宋" w:cs="仿宋"/>
                <w:color w:val="000000"/>
                <w:sz w:val="22"/>
                <w:szCs w:val="22"/>
              </w:rPr>
            </w:pPr>
          </w:p>
        </w:tc>
      </w:tr>
      <w:tr w14:paraId="5BEF3F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14:paraId="440CD865">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3</w:t>
            </w:r>
          </w:p>
        </w:tc>
        <w:tc>
          <w:tcPr>
            <w:tcW w:w="2268" w:type="dxa"/>
            <w:tcBorders>
              <w:top w:val="single" w:color="auto" w:sz="4" w:space="0"/>
              <w:left w:val="single" w:color="auto" w:sz="4" w:space="0"/>
              <w:bottom w:val="single" w:color="auto" w:sz="4" w:space="0"/>
              <w:right w:val="single" w:color="auto" w:sz="4" w:space="0"/>
            </w:tcBorders>
            <w:vAlign w:val="center"/>
          </w:tcPr>
          <w:p w14:paraId="3315A716">
            <w:pPr>
              <w:widowControl/>
              <w:jc w:val="left"/>
              <w:textAlignment w:val="center"/>
              <w:rPr>
                <w:rFonts w:ascii="仿宋" w:hAnsi="仿宋" w:eastAsia="仿宋" w:cs="仿宋"/>
                <w:color w:val="000000"/>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14:paraId="0844CA43">
            <w:pPr>
              <w:widowControl/>
              <w:jc w:val="left"/>
              <w:textAlignment w:val="center"/>
              <w:rPr>
                <w:rFonts w:ascii="仿宋" w:hAnsi="仿宋" w:eastAsia="仿宋" w:cs="仿宋"/>
                <w:color w:val="000000"/>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14:paraId="7F4E0B63">
            <w:pPr>
              <w:widowControl/>
              <w:jc w:val="left"/>
              <w:textAlignment w:val="center"/>
              <w:rPr>
                <w:rFonts w:ascii="仿宋" w:hAnsi="仿宋" w:eastAsia="仿宋" w:cs="仿宋"/>
                <w:color w:val="000000"/>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14:paraId="2624869C">
            <w:pPr>
              <w:widowControl/>
              <w:jc w:val="left"/>
              <w:textAlignment w:val="center"/>
              <w:rPr>
                <w:rFonts w:ascii="仿宋" w:hAnsi="仿宋" w:eastAsia="仿宋" w:cs="仿宋"/>
                <w:color w:val="000000"/>
                <w:sz w:val="22"/>
                <w:szCs w:val="22"/>
              </w:rPr>
            </w:pPr>
          </w:p>
        </w:tc>
      </w:tr>
      <w:tr w14:paraId="3CC737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14:paraId="1110A1C0">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4</w:t>
            </w:r>
          </w:p>
        </w:tc>
        <w:tc>
          <w:tcPr>
            <w:tcW w:w="2268" w:type="dxa"/>
            <w:tcBorders>
              <w:top w:val="single" w:color="auto" w:sz="4" w:space="0"/>
              <w:left w:val="single" w:color="auto" w:sz="4" w:space="0"/>
              <w:bottom w:val="single" w:color="auto" w:sz="4" w:space="0"/>
              <w:right w:val="single" w:color="auto" w:sz="4" w:space="0"/>
            </w:tcBorders>
            <w:vAlign w:val="center"/>
          </w:tcPr>
          <w:p w14:paraId="6E9EEA21">
            <w:pPr>
              <w:widowControl/>
              <w:jc w:val="left"/>
              <w:textAlignment w:val="center"/>
              <w:rPr>
                <w:rFonts w:ascii="仿宋" w:hAnsi="仿宋" w:eastAsia="仿宋" w:cs="仿宋"/>
                <w:color w:val="000000"/>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14:paraId="25F410C4">
            <w:pPr>
              <w:widowControl/>
              <w:jc w:val="left"/>
              <w:textAlignment w:val="center"/>
              <w:rPr>
                <w:rFonts w:ascii="仿宋" w:hAnsi="仿宋" w:eastAsia="仿宋" w:cs="仿宋"/>
                <w:color w:val="000000"/>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14:paraId="2130A77C">
            <w:pPr>
              <w:widowControl/>
              <w:jc w:val="left"/>
              <w:textAlignment w:val="center"/>
              <w:rPr>
                <w:rFonts w:ascii="仿宋" w:hAnsi="仿宋" w:eastAsia="仿宋" w:cs="仿宋"/>
                <w:color w:val="000000"/>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14:paraId="2A112345">
            <w:pPr>
              <w:widowControl/>
              <w:jc w:val="left"/>
              <w:textAlignment w:val="center"/>
              <w:rPr>
                <w:rFonts w:ascii="仿宋" w:hAnsi="仿宋" w:eastAsia="仿宋" w:cs="仿宋"/>
                <w:color w:val="000000"/>
                <w:sz w:val="22"/>
                <w:szCs w:val="22"/>
              </w:rPr>
            </w:pPr>
          </w:p>
        </w:tc>
      </w:tr>
      <w:tr w14:paraId="543640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14:paraId="6800345B">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5</w:t>
            </w:r>
          </w:p>
        </w:tc>
        <w:tc>
          <w:tcPr>
            <w:tcW w:w="2268" w:type="dxa"/>
            <w:tcBorders>
              <w:top w:val="single" w:color="auto" w:sz="4" w:space="0"/>
              <w:left w:val="single" w:color="auto" w:sz="4" w:space="0"/>
              <w:bottom w:val="single" w:color="auto" w:sz="4" w:space="0"/>
              <w:right w:val="single" w:color="auto" w:sz="4" w:space="0"/>
            </w:tcBorders>
            <w:vAlign w:val="center"/>
          </w:tcPr>
          <w:p w14:paraId="78BE3395">
            <w:pPr>
              <w:widowControl/>
              <w:jc w:val="left"/>
              <w:textAlignment w:val="center"/>
              <w:rPr>
                <w:rFonts w:ascii="仿宋" w:hAnsi="仿宋" w:eastAsia="仿宋" w:cs="仿宋"/>
                <w:color w:val="000000"/>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14:paraId="7E1338A5">
            <w:pPr>
              <w:widowControl/>
              <w:jc w:val="left"/>
              <w:textAlignment w:val="center"/>
              <w:rPr>
                <w:rFonts w:ascii="仿宋" w:hAnsi="仿宋" w:eastAsia="仿宋" w:cs="仿宋"/>
                <w:color w:val="000000"/>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14:paraId="33DE8A81">
            <w:pPr>
              <w:widowControl/>
              <w:jc w:val="left"/>
              <w:textAlignment w:val="center"/>
              <w:rPr>
                <w:rFonts w:ascii="仿宋" w:hAnsi="仿宋" w:eastAsia="仿宋" w:cs="仿宋"/>
                <w:color w:val="000000"/>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14:paraId="6E516AE7">
            <w:pPr>
              <w:widowControl/>
              <w:jc w:val="left"/>
              <w:textAlignment w:val="center"/>
              <w:rPr>
                <w:rFonts w:ascii="仿宋" w:hAnsi="仿宋" w:eastAsia="仿宋" w:cs="仿宋"/>
                <w:color w:val="000000"/>
                <w:sz w:val="22"/>
                <w:szCs w:val="22"/>
              </w:rPr>
            </w:pPr>
          </w:p>
        </w:tc>
      </w:tr>
      <w:tr w14:paraId="45B36E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14:paraId="38E2B814">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6</w:t>
            </w:r>
          </w:p>
        </w:tc>
        <w:tc>
          <w:tcPr>
            <w:tcW w:w="2268" w:type="dxa"/>
            <w:tcBorders>
              <w:top w:val="single" w:color="auto" w:sz="4" w:space="0"/>
              <w:left w:val="single" w:color="auto" w:sz="4" w:space="0"/>
              <w:bottom w:val="single" w:color="auto" w:sz="4" w:space="0"/>
              <w:right w:val="single" w:color="auto" w:sz="4" w:space="0"/>
            </w:tcBorders>
            <w:vAlign w:val="center"/>
          </w:tcPr>
          <w:p w14:paraId="2CB6BBF8">
            <w:pPr>
              <w:widowControl/>
              <w:jc w:val="center"/>
              <w:textAlignment w:val="center"/>
              <w:rPr>
                <w:rFonts w:ascii="仿宋" w:hAnsi="仿宋" w:eastAsia="仿宋" w:cs="仿宋"/>
                <w:color w:val="000000"/>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14:paraId="1A592A0A">
            <w:pPr>
              <w:widowControl/>
              <w:jc w:val="left"/>
              <w:textAlignment w:val="center"/>
              <w:rPr>
                <w:rFonts w:ascii="仿宋" w:hAnsi="仿宋" w:eastAsia="仿宋" w:cs="仿宋"/>
                <w:color w:val="000000"/>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14:paraId="35374FA2">
            <w:pPr>
              <w:widowControl/>
              <w:jc w:val="left"/>
              <w:textAlignment w:val="center"/>
              <w:rPr>
                <w:rFonts w:ascii="仿宋" w:hAnsi="仿宋" w:eastAsia="仿宋" w:cs="仿宋"/>
                <w:color w:val="000000"/>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14:paraId="140544D5">
            <w:pPr>
              <w:widowControl/>
              <w:jc w:val="left"/>
              <w:textAlignment w:val="center"/>
              <w:rPr>
                <w:rFonts w:ascii="仿宋" w:hAnsi="仿宋" w:eastAsia="仿宋" w:cs="仿宋"/>
                <w:color w:val="000000"/>
                <w:sz w:val="22"/>
                <w:szCs w:val="22"/>
              </w:rPr>
            </w:pPr>
          </w:p>
        </w:tc>
      </w:tr>
      <w:tr w14:paraId="2B03A8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14:paraId="69EF21D3">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7</w:t>
            </w:r>
          </w:p>
        </w:tc>
        <w:tc>
          <w:tcPr>
            <w:tcW w:w="2268" w:type="dxa"/>
            <w:tcBorders>
              <w:top w:val="single" w:color="auto" w:sz="4" w:space="0"/>
              <w:left w:val="single" w:color="auto" w:sz="4" w:space="0"/>
              <w:bottom w:val="single" w:color="auto" w:sz="4" w:space="0"/>
              <w:right w:val="single" w:color="auto" w:sz="4" w:space="0"/>
            </w:tcBorders>
            <w:vAlign w:val="center"/>
          </w:tcPr>
          <w:p w14:paraId="6F3A4E34">
            <w:pPr>
              <w:widowControl/>
              <w:jc w:val="center"/>
              <w:textAlignment w:val="center"/>
              <w:rPr>
                <w:rFonts w:ascii="仿宋" w:hAnsi="仿宋" w:eastAsia="仿宋" w:cs="仿宋"/>
                <w:color w:val="000000"/>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14:paraId="13FAE752">
            <w:pPr>
              <w:widowControl/>
              <w:jc w:val="left"/>
              <w:textAlignment w:val="center"/>
              <w:rPr>
                <w:rFonts w:ascii="仿宋" w:hAnsi="仿宋" w:eastAsia="仿宋" w:cs="仿宋"/>
                <w:color w:val="000000"/>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14:paraId="302D40D3">
            <w:pPr>
              <w:widowControl/>
              <w:jc w:val="left"/>
              <w:textAlignment w:val="center"/>
              <w:rPr>
                <w:rFonts w:ascii="仿宋" w:hAnsi="仿宋" w:eastAsia="仿宋" w:cs="仿宋"/>
                <w:color w:val="000000"/>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14:paraId="18620993">
            <w:pPr>
              <w:widowControl/>
              <w:jc w:val="left"/>
              <w:textAlignment w:val="center"/>
              <w:rPr>
                <w:rFonts w:ascii="仿宋" w:hAnsi="仿宋" w:eastAsia="仿宋" w:cs="仿宋"/>
                <w:color w:val="000000"/>
                <w:sz w:val="22"/>
                <w:szCs w:val="22"/>
              </w:rPr>
            </w:pPr>
          </w:p>
        </w:tc>
      </w:tr>
      <w:tr w14:paraId="7512ED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14:paraId="26268638">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8</w:t>
            </w:r>
          </w:p>
        </w:tc>
        <w:tc>
          <w:tcPr>
            <w:tcW w:w="2268" w:type="dxa"/>
            <w:tcBorders>
              <w:top w:val="single" w:color="auto" w:sz="4" w:space="0"/>
              <w:left w:val="single" w:color="auto" w:sz="4" w:space="0"/>
              <w:bottom w:val="single" w:color="auto" w:sz="4" w:space="0"/>
              <w:right w:val="single" w:color="auto" w:sz="4" w:space="0"/>
            </w:tcBorders>
            <w:vAlign w:val="center"/>
          </w:tcPr>
          <w:p w14:paraId="2AF16C9F">
            <w:pPr>
              <w:widowControl/>
              <w:jc w:val="center"/>
              <w:textAlignment w:val="center"/>
              <w:rPr>
                <w:rFonts w:ascii="仿宋" w:hAnsi="仿宋" w:eastAsia="仿宋" w:cs="仿宋"/>
                <w:color w:val="000000"/>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14:paraId="0547403F">
            <w:pPr>
              <w:widowControl/>
              <w:jc w:val="left"/>
              <w:textAlignment w:val="center"/>
              <w:rPr>
                <w:rFonts w:ascii="仿宋" w:hAnsi="仿宋" w:eastAsia="仿宋" w:cs="仿宋"/>
                <w:color w:val="000000"/>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14:paraId="7F155FCA">
            <w:pPr>
              <w:widowControl/>
              <w:jc w:val="left"/>
              <w:textAlignment w:val="center"/>
              <w:rPr>
                <w:rFonts w:ascii="仿宋" w:hAnsi="仿宋" w:eastAsia="仿宋" w:cs="仿宋"/>
                <w:color w:val="000000"/>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14:paraId="72814358">
            <w:pPr>
              <w:widowControl/>
              <w:jc w:val="left"/>
              <w:textAlignment w:val="center"/>
              <w:rPr>
                <w:rFonts w:ascii="仿宋" w:hAnsi="仿宋" w:eastAsia="仿宋" w:cs="仿宋"/>
                <w:color w:val="000000"/>
                <w:sz w:val="22"/>
                <w:szCs w:val="22"/>
              </w:rPr>
            </w:pPr>
          </w:p>
        </w:tc>
      </w:tr>
      <w:tr w14:paraId="648B8D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14:paraId="722E2EF7">
            <w:pPr>
              <w:widowControl/>
              <w:jc w:val="center"/>
              <w:textAlignment w:val="center"/>
              <w:rPr>
                <w:rFonts w:ascii="仿宋" w:hAnsi="仿宋" w:eastAsia="仿宋" w:cs="仿宋"/>
                <w:color w:val="000000"/>
                <w:sz w:val="22"/>
                <w:szCs w:val="22"/>
              </w:rPr>
            </w:pPr>
          </w:p>
        </w:tc>
        <w:tc>
          <w:tcPr>
            <w:tcW w:w="2268" w:type="dxa"/>
            <w:tcBorders>
              <w:top w:val="single" w:color="auto" w:sz="4" w:space="0"/>
              <w:left w:val="single" w:color="auto" w:sz="4" w:space="0"/>
              <w:bottom w:val="single" w:color="auto" w:sz="4" w:space="0"/>
              <w:right w:val="single" w:color="auto" w:sz="4" w:space="0"/>
            </w:tcBorders>
            <w:vAlign w:val="center"/>
          </w:tcPr>
          <w:p w14:paraId="3627DEA8">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（本表可根据需要</w:t>
            </w:r>
          </w:p>
          <w:p w14:paraId="73EEF8C5">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自行添加行）</w:t>
            </w:r>
          </w:p>
        </w:tc>
        <w:tc>
          <w:tcPr>
            <w:tcW w:w="2551" w:type="dxa"/>
            <w:tcBorders>
              <w:top w:val="single" w:color="auto" w:sz="4" w:space="0"/>
              <w:left w:val="single" w:color="auto" w:sz="4" w:space="0"/>
              <w:bottom w:val="single" w:color="auto" w:sz="4" w:space="0"/>
              <w:right w:val="single" w:color="auto" w:sz="4" w:space="0"/>
            </w:tcBorders>
            <w:vAlign w:val="center"/>
          </w:tcPr>
          <w:p w14:paraId="60F3CCEA">
            <w:pPr>
              <w:widowControl/>
              <w:jc w:val="left"/>
              <w:textAlignment w:val="center"/>
              <w:rPr>
                <w:rFonts w:ascii="仿宋" w:hAnsi="仿宋" w:eastAsia="仿宋" w:cs="仿宋"/>
                <w:color w:val="000000"/>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14:paraId="41AFDC3C">
            <w:pPr>
              <w:widowControl/>
              <w:jc w:val="left"/>
              <w:textAlignment w:val="center"/>
              <w:rPr>
                <w:rFonts w:ascii="仿宋" w:hAnsi="仿宋" w:eastAsia="仿宋" w:cs="仿宋"/>
                <w:color w:val="000000"/>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14:paraId="0B98C735">
            <w:pPr>
              <w:widowControl/>
              <w:jc w:val="left"/>
              <w:textAlignment w:val="center"/>
              <w:rPr>
                <w:rFonts w:ascii="仿宋" w:hAnsi="仿宋" w:eastAsia="仿宋" w:cs="仿宋"/>
                <w:color w:val="000000"/>
                <w:sz w:val="22"/>
                <w:szCs w:val="22"/>
              </w:rPr>
            </w:pPr>
          </w:p>
        </w:tc>
      </w:tr>
    </w:tbl>
    <w:p w14:paraId="7EC87768">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供应商名称（加盖公章）：</w:t>
      </w:r>
    </w:p>
    <w:p w14:paraId="212E838A">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法定代表人（授权代表）签章：</w:t>
      </w:r>
    </w:p>
    <w:p w14:paraId="0F4E7670">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w:t>
      </w:r>
    </w:p>
    <w:p w14:paraId="486F0388">
      <w:pPr>
        <w:tabs>
          <w:tab w:val="left" w:pos="142"/>
        </w:tabs>
        <w:spacing w:line="500" w:lineRule="exact"/>
        <w:ind w:firstLine="480" w:firstLineChars="200"/>
        <w:jc w:val="left"/>
        <w:rPr>
          <w:rFonts w:ascii="仿宋" w:hAnsi="仿宋" w:eastAsia="仿宋" w:cs="仿宋"/>
          <w:color w:val="000000"/>
          <w:sz w:val="24"/>
          <w:szCs w:val="24"/>
        </w:rPr>
      </w:pPr>
    </w:p>
    <w:p w14:paraId="04BFE770">
      <w:pPr>
        <w:tabs>
          <w:tab w:val="left" w:pos="142"/>
        </w:tabs>
        <w:spacing w:line="500" w:lineRule="exact"/>
        <w:ind w:firstLine="480" w:firstLineChars="200"/>
        <w:jc w:val="left"/>
        <w:rPr>
          <w:rFonts w:ascii="仿宋" w:hAnsi="仿宋" w:eastAsia="仿宋" w:cs="仿宋"/>
          <w:color w:val="000000"/>
          <w:sz w:val="24"/>
          <w:szCs w:val="24"/>
        </w:rPr>
      </w:pPr>
    </w:p>
    <w:p w14:paraId="44AEB952">
      <w:pPr>
        <w:tabs>
          <w:tab w:val="left" w:pos="142"/>
        </w:tabs>
        <w:spacing w:line="500" w:lineRule="exact"/>
        <w:ind w:firstLine="480" w:firstLineChars="200"/>
        <w:jc w:val="left"/>
        <w:rPr>
          <w:rFonts w:ascii="仿宋" w:hAnsi="仿宋" w:eastAsia="仿宋" w:cs="仿宋"/>
          <w:color w:val="000000"/>
          <w:sz w:val="24"/>
          <w:szCs w:val="24"/>
        </w:rPr>
      </w:pPr>
    </w:p>
    <w:p w14:paraId="3DAB27D0">
      <w:pPr>
        <w:spacing w:line="400" w:lineRule="exact"/>
        <w:rPr>
          <w:rFonts w:ascii="仿宋" w:hAnsi="仿宋" w:eastAsia="仿宋" w:cs="仿宋"/>
          <w:color w:val="000000"/>
          <w:sz w:val="24"/>
        </w:rPr>
      </w:pPr>
      <w:r>
        <w:rPr>
          <w:rFonts w:hint="eastAsia" w:ascii="仿宋" w:hAnsi="仿宋" w:eastAsia="仿宋" w:cs="仿宋"/>
          <w:color w:val="000000"/>
          <w:sz w:val="24"/>
        </w:rPr>
        <w:t>填写说明：</w:t>
      </w:r>
    </w:p>
    <w:p w14:paraId="65733F37">
      <w:pPr>
        <w:spacing w:line="400" w:lineRule="exact"/>
        <w:ind w:firstLine="480" w:firstLineChars="200"/>
        <w:rPr>
          <w:rFonts w:ascii="仿宋" w:hAnsi="仿宋" w:eastAsia="仿宋" w:cs="仿宋"/>
          <w:color w:val="000000"/>
          <w:sz w:val="24"/>
        </w:rPr>
      </w:pPr>
      <w:r>
        <w:rPr>
          <w:rFonts w:hint="eastAsia" w:ascii="仿宋" w:hAnsi="仿宋" w:eastAsia="仿宋" w:cs="仿宋"/>
          <w:color w:val="000000"/>
          <w:sz w:val="24"/>
        </w:rPr>
        <w:t>1、供应商应按照服务要求逐一说明响应，直接拷贝采购文件服务内容要求的按照无效处理；</w:t>
      </w:r>
    </w:p>
    <w:p w14:paraId="442ED28B">
      <w:pPr>
        <w:spacing w:line="400" w:lineRule="exact"/>
        <w:ind w:firstLine="480" w:firstLineChars="200"/>
        <w:rPr>
          <w:rFonts w:ascii="仿宋" w:hAnsi="仿宋" w:eastAsia="仿宋" w:cs="仿宋"/>
          <w:color w:val="000000"/>
          <w:sz w:val="24"/>
        </w:rPr>
      </w:pPr>
      <w:r>
        <w:rPr>
          <w:rFonts w:hint="eastAsia" w:ascii="仿宋" w:hAnsi="仿宋" w:eastAsia="仿宋" w:cs="仿宋"/>
          <w:color w:val="000000"/>
          <w:sz w:val="24"/>
        </w:rPr>
        <w:t>2、供应商承诺：除上表中的偏差外，完全响应采购文件的其他条款。</w:t>
      </w:r>
    </w:p>
    <w:p w14:paraId="362EB494">
      <w:pPr>
        <w:spacing w:line="400" w:lineRule="exact"/>
        <w:ind w:firstLine="480" w:firstLineChars="200"/>
        <w:rPr>
          <w:rFonts w:ascii="仿宋" w:hAnsi="仿宋" w:eastAsia="仿宋" w:cs="仿宋"/>
          <w:color w:val="000000"/>
          <w:sz w:val="24"/>
        </w:rPr>
      </w:pPr>
      <w:r>
        <w:rPr>
          <w:rFonts w:hint="eastAsia" w:ascii="仿宋" w:hAnsi="仿宋" w:eastAsia="仿宋" w:cs="仿宋"/>
          <w:color w:val="000000"/>
          <w:sz w:val="24"/>
        </w:rPr>
        <w:t>3、如果行数不够，请自行添加。</w:t>
      </w:r>
    </w:p>
    <w:p w14:paraId="5DD965C1">
      <w:pPr>
        <w:pStyle w:val="19"/>
        <w:ind w:firstLine="480"/>
        <w:rPr>
          <w:rFonts w:ascii="仿宋" w:hAnsi="仿宋" w:eastAsia="仿宋" w:cs="仿宋"/>
          <w:color w:val="000000"/>
          <w:sz w:val="24"/>
        </w:rPr>
      </w:pPr>
    </w:p>
    <w:p w14:paraId="788BA736">
      <w:pPr>
        <w:rPr>
          <w:rFonts w:ascii="仿宋" w:hAnsi="仿宋" w:eastAsia="仿宋" w:cs="仿宋"/>
          <w:color w:val="000000"/>
          <w:sz w:val="24"/>
        </w:rPr>
      </w:pPr>
    </w:p>
    <w:p w14:paraId="4627C09D">
      <w:pPr>
        <w:pStyle w:val="19"/>
        <w:ind w:firstLine="480"/>
        <w:rPr>
          <w:rFonts w:ascii="仿宋" w:hAnsi="仿宋" w:eastAsia="仿宋" w:cs="仿宋"/>
          <w:color w:val="000000"/>
          <w:sz w:val="24"/>
        </w:rPr>
      </w:pPr>
    </w:p>
    <w:p w14:paraId="66575D92">
      <w:pPr>
        <w:rPr>
          <w:rFonts w:ascii="仿宋" w:hAnsi="仿宋" w:eastAsia="仿宋" w:cs="仿宋"/>
          <w:color w:val="000000"/>
          <w:sz w:val="24"/>
        </w:rPr>
      </w:pPr>
    </w:p>
    <w:p w14:paraId="799B5D3C">
      <w:pPr>
        <w:pStyle w:val="19"/>
        <w:ind w:firstLine="480"/>
        <w:rPr>
          <w:rFonts w:ascii="仿宋" w:hAnsi="仿宋" w:eastAsia="仿宋" w:cs="仿宋"/>
          <w:color w:val="000000"/>
          <w:sz w:val="24"/>
        </w:rPr>
      </w:pPr>
    </w:p>
    <w:p w14:paraId="62A31605">
      <w:pPr>
        <w:rPr>
          <w:rFonts w:ascii="仿宋" w:hAnsi="仿宋" w:eastAsia="仿宋" w:cs="仿宋"/>
          <w:color w:val="000000"/>
          <w:sz w:val="24"/>
        </w:rPr>
      </w:pPr>
    </w:p>
    <w:p w14:paraId="5D1B53E1">
      <w:pPr>
        <w:pStyle w:val="19"/>
        <w:ind w:firstLine="480"/>
        <w:rPr>
          <w:rFonts w:ascii="仿宋" w:hAnsi="仿宋" w:eastAsia="仿宋" w:cs="仿宋"/>
          <w:color w:val="000000"/>
          <w:sz w:val="24"/>
        </w:rPr>
      </w:pPr>
    </w:p>
    <w:p w14:paraId="3ABAE39F">
      <w:pPr>
        <w:pStyle w:val="30"/>
        <w:pageBreakBefore/>
        <w:numPr>
          <w:ilvl w:val="0"/>
          <w:numId w:val="0"/>
        </w:numPr>
        <w:spacing w:line="360" w:lineRule="auto"/>
        <w:jc w:val="center"/>
        <w:outlineLvl w:val="0"/>
        <w:rPr>
          <w:rFonts w:ascii="仿宋" w:hAnsi="仿宋" w:eastAsia="仿宋" w:cs="仿宋"/>
          <w:color w:val="000000"/>
          <w:sz w:val="32"/>
          <w:szCs w:val="32"/>
        </w:rPr>
      </w:pPr>
      <w:bookmarkStart w:id="324" w:name="_Toc25170489"/>
      <w:bookmarkStart w:id="325" w:name="_Toc32475"/>
      <w:bookmarkStart w:id="326" w:name="_Toc6890"/>
      <w:bookmarkStart w:id="327" w:name="_Toc10654"/>
      <w:bookmarkStart w:id="328" w:name="_Toc8869"/>
      <w:bookmarkStart w:id="329" w:name="_Toc1792"/>
      <w:bookmarkStart w:id="330" w:name="_Toc32302"/>
      <w:bookmarkStart w:id="331" w:name="_Toc9727"/>
      <w:bookmarkStart w:id="332" w:name="_Toc6268"/>
      <w:bookmarkStart w:id="333" w:name="_Toc25932"/>
      <w:bookmarkStart w:id="334" w:name="_Toc29194"/>
      <w:bookmarkStart w:id="335" w:name="_Toc14627"/>
      <w:bookmarkStart w:id="336" w:name="_Toc12003"/>
      <w:bookmarkStart w:id="337" w:name="_Toc32345"/>
      <w:bookmarkStart w:id="338" w:name="_Toc9167"/>
      <w:bookmarkStart w:id="339" w:name="_Toc22517"/>
      <w:r>
        <w:rPr>
          <w:rFonts w:hint="eastAsia" w:ascii="仿宋" w:hAnsi="仿宋" w:eastAsia="仿宋" w:cs="仿宋"/>
          <w:color w:val="000000"/>
          <w:sz w:val="32"/>
          <w:szCs w:val="32"/>
        </w:rPr>
        <w:t>六、</w:t>
      </w:r>
      <w:bookmarkEnd w:id="324"/>
      <w:bookmarkEnd w:id="325"/>
      <w:bookmarkEnd w:id="326"/>
      <w:bookmarkEnd w:id="327"/>
      <w:bookmarkEnd w:id="328"/>
      <w:r>
        <w:rPr>
          <w:rFonts w:hint="eastAsia" w:ascii="仿宋" w:hAnsi="仿宋" w:eastAsia="仿宋" w:cs="仿宋"/>
          <w:color w:val="000000"/>
          <w:sz w:val="32"/>
          <w:szCs w:val="32"/>
        </w:rPr>
        <w:t>项目实施方案</w:t>
      </w:r>
      <w:bookmarkEnd w:id="329"/>
      <w:bookmarkEnd w:id="330"/>
      <w:bookmarkEnd w:id="331"/>
      <w:bookmarkEnd w:id="332"/>
      <w:bookmarkEnd w:id="333"/>
      <w:bookmarkEnd w:id="334"/>
      <w:bookmarkEnd w:id="335"/>
      <w:bookmarkEnd w:id="336"/>
      <w:bookmarkEnd w:id="337"/>
      <w:bookmarkEnd w:id="338"/>
      <w:bookmarkEnd w:id="339"/>
    </w:p>
    <w:p w14:paraId="692D6BBA">
      <w:pPr>
        <w:pStyle w:val="28"/>
        <w:spacing w:before="0" w:after="0"/>
        <w:rPr>
          <w:rFonts w:ascii="仿宋" w:hAnsi="仿宋" w:eastAsia="仿宋" w:cs="仿宋"/>
          <w:color w:val="000000"/>
        </w:rPr>
      </w:pPr>
    </w:p>
    <w:p w14:paraId="1F8ACCD1">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本项应包含且不限于下列内容：</w:t>
      </w:r>
    </w:p>
    <w:p w14:paraId="2C02FBCC">
      <w:pPr>
        <w:spacing w:line="360" w:lineRule="auto"/>
        <w:ind w:firstLine="960" w:firstLineChars="400"/>
        <w:rPr>
          <w:rFonts w:ascii="仿宋" w:hAnsi="仿宋" w:eastAsia="仿宋" w:cs="仿宋"/>
          <w:color w:val="000000"/>
          <w:sz w:val="24"/>
          <w:szCs w:val="24"/>
        </w:rPr>
      </w:pPr>
      <w:r>
        <w:rPr>
          <w:rFonts w:hint="eastAsia" w:ascii="仿宋" w:hAnsi="仿宋" w:eastAsia="仿宋" w:cs="仿宋"/>
          <w:color w:val="000000"/>
          <w:sz w:val="24"/>
          <w:szCs w:val="24"/>
        </w:rPr>
        <w:t>总体实施方案、实施内容、项目实施进度、人员安排、保证措施等。</w:t>
      </w:r>
    </w:p>
    <w:p w14:paraId="36A9EC73">
      <w:pPr>
        <w:spacing w:line="360" w:lineRule="auto"/>
        <w:ind w:firstLine="480" w:firstLineChars="200"/>
        <w:rPr>
          <w:rFonts w:ascii="仿宋" w:hAnsi="仿宋" w:eastAsia="仿宋" w:cs="仿宋"/>
          <w:color w:val="000000"/>
          <w:sz w:val="24"/>
          <w:szCs w:val="24"/>
        </w:rPr>
      </w:pPr>
    </w:p>
    <w:p w14:paraId="74018191">
      <w:pPr>
        <w:spacing w:line="360" w:lineRule="auto"/>
        <w:ind w:firstLine="480" w:firstLineChars="200"/>
        <w:rPr>
          <w:rFonts w:ascii="仿宋" w:hAnsi="仿宋" w:eastAsia="仿宋" w:cs="仿宋"/>
          <w:color w:val="000000"/>
          <w:sz w:val="24"/>
          <w:szCs w:val="24"/>
        </w:rPr>
      </w:pPr>
    </w:p>
    <w:p w14:paraId="3D434D60">
      <w:pPr>
        <w:spacing w:line="360" w:lineRule="auto"/>
        <w:ind w:firstLine="960" w:firstLineChars="400"/>
        <w:rPr>
          <w:rFonts w:ascii="仿宋" w:hAnsi="仿宋" w:eastAsia="仿宋" w:cs="仿宋"/>
          <w:color w:val="000000"/>
          <w:sz w:val="24"/>
          <w:szCs w:val="24"/>
        </w:rPr>
      </w:pPr>
      <w:r>
        <w:rPr>
          <w:rFonts w:hint="eastAsia" w:ascii="仿宋" w:hAnsi="仿宋" w:eastAsia="仿宋" w:cs="仿宋"/>
          <w:color w:val="000000"/>
          <w:sz w:val="24"/>
          <w:szCs w:val="24"/>
        </w:rPr>
        <w:t>供应商名称（加盖公章）：</w:t>
      </w:r>
    </w:p>
    <w:p w14:paraId="01CFC0E2">
      <w:pPr>
        <w:spacing w:line="360" w:lineRule="auto"/>
        <w:ind w:firstLine="960" w:firstLineChars="400"/>
        <w:rPr>
          <w:rFonts w:ascii="仿宋" w:hAnsi="仿宋" w:eastAsia="仿宋" w:cs="仿宋"/>
          <w:color w:val="000000"/>
          <w:sz w:val="24"/>
          <w:szCs w:val="24"/>
        </w:rPr>
      </w:pPr>
      <w:r>
        <w:rPr>
          <w:rFonts w:hint="eastAsia" w:ascii="仿宋" w:hAnsi="仿宋" w:eastAsia="仿宋" w:cs="仿宋"/>
          <w:color w:val="000000"/>
          <w:sz w:val="24"/>
          <w:szCs w:val="24"/>
        </w:rPr>
        <w:t>法定代表人（授权代表）签章：</w:t>
      </w:r>
    </w:p>
    <w:p w14:paraId="6EB3D28B">
      <w:pPr>
        <w:spacing w:line="360" w:lineRule="auto"/>
        <w:ind w:firstLine="960" w:firstLineChars="400"/>
        <w:rPr>
          <w:rFonts w:ascii="仿宋" w:hAnsi="仿宋" w:eastAsia="仿宋" w:cs="仿宋"/>
          <w:color w:val="000000"/>
        </w:rPr>
        <w:sectPr>
          <w:footerReference r:id="rId12" w:type="default"/>
          <w:pgSz w:w="11906" w:h="16838"/>
          <w:pgMar w:top="1440" w:right="1080" w:bottom="1440" w:left="1080" w:header="851" w:footer="992" w:gutter="0"/>
          <w:cols w:space="720" w:num="1"/>
          <w:docGrid w:type="linesAndChars" w:linePitch="312" w:charSpace="0"/>
        </w:sectPr>
      </w:pPr>
      <w:r>
        <w:rPr>
          <w:rFonts w:hint="eastAsia" w:ascii="仿宋" w:hAnsi="仿宋" w:eastAsia="仿宋" w:cs="仿宋"/>
          <w:color w:val="000000"/>
          <w:sz w:val="24"/>
          <w:szCs w:val="24"/>
        </w:rPr>
        <w:t>日期：</w:t>
      </w:r>
    </w:p>
    <w:p w14:paraId="020ED74C">
      <w:pPr>
        <w:pStyle w:val="30"/>
        <w:pageBreakBefore/>
        <w:numPr>
          <w:ilvl w:val="0"/>
          <w:numId w:val="0"/>
        </w:numPr>
        <w:spacing w:line="360" w:lineRule="auto"/>
        <w:jc w:val="center"/>
        <w:outlineLvl w:val="0"/>
        <w:rPr>
          <w:rFonts w:ascii="仿宋" w:hAnsi="仿宋" w:eastAsia="仿宋" w:cs="仿宋"/>
          <w:color w:val="000000"/>
          <w:sz w:val="32"/>
          <w:szCs w:val="32"/>
        </w:rPr>
      </w:pPr>
      <w:bookmarkStart w:id="340" w:name="_Toc18034"/>
      <w:bookmarkStart w:id="341" w:name="_Toc14646"/>
      <w:bookmarkStart w:id="342" w:name="_Toc22472"/>
      <w:bookmarkStart w:id="343" w:name="_Toc30178"/>
      <w:bookmarkStart w:id="344" w:name="_Toc18124"/>
      <w:bookmarkStart w:id="345" w:name="_Toc7232"/>
      <w:bookmarkStart w:id="346" w:name="_Toc7824"/>
      <w:bookmarkStart w:id="347" w:name="_Toc6751"/>
      <w:bookmarkStart w:id="348" w:name="_Toc23597"/>
      <w:bookmarkStart w:id="349" w:name="_Toc2019"/>
      <w:bookmarkStart w:id="350" w:name="_Toc184"/>
      <w:r>
        <w:rPr>
          <w:rFonts w:hint="eastAsia" w:ascii="仿宋" w:hAnsi="仿宋" w:eastAsia="仿宋" w:cs="仿宋"/>
          <w:color w:val="000000"/>
          <w:sz w:val="32"/>
          <w:szCs w:val="32"/>
        </w:rPr>
        <w:t>七、售后服务方案与承诺</w:t>
      </w:r>
      <w:bookmarkEnd w:id="340"/>
      <w:bookmarkEnd w:id="341"/>
      <w:bookmarkEnd w:id="342"/>
      <w:bookmarkEnd w:id="343"/>
      <w:bookmarkEnd w:id="344"/>
      <w:bookmarkEnd w:id="345"/>
      <w:bookmarkEnd w:id="346"/>
      <w:bookmarkEnd w:id="347"/>
      <w:bookmarkEnd w:id="348"/>
      <w:bookmarkEnd w:id="349"/>
      <w:bookmarkEnd w:id="350"/>
    </w:p>
    <w:p w14:paraId="49CDFD32">
      <w:pPr>
        <w:pStyle w:val="30"/>
        <w:numPr>
          <w:ilvl w:val="0"/>
          <w:numId w:val="0"/>
        </w:numPr>
        <w:spacing w:line="360" w:lineRule="auto"/>
        <w:jc w:val="center"/>
        <w:outlineLvl w:val="0"/>
        <w:rPr>
          <w:rFonts w:ascii="仿宋" w:hAnsi="仿宋" w:eastAsia="仿宋" w:cs="仿宋"/>
          <w:color w:val="000000"/>
          <w:sz w:val="32"/>
          <w:szCs w:val="32"/>
        </w:rPr>
      </w:pPr>
      <w:bookmarkStart w:id="351" w:name="_Toc6805"/>
      <w:bookmarkStart w:id="352" w:name="_Toc24162"/>
      <w:bookmarkStart w:id="353" w:name="_Toc2720"/>
      <w:bookmarkStart w:id="354" w:name="_Toc13554"/>
      <w:bookmarkStart w:id="355" w:name="_Toc11529"/>
      <w:bookmarkStart w:id="356" w:name="_Toc17588"/>
      <w:bookmarkStart w:id="357" w:name="_Toc23325"/>
      <w:bookmarkStart w:id="358" w:name="_Toc1822"/>
      <w:bookmarkStart w:id="359" w:name="_Toc3692"/>
      <w:bookmarkStart w:id="360" w:name="_Toc6292"/>
      <w:bookmarkStart w:id="361" w:name="_Toc25943"/>
      <w:r>
        <w:rPr>
          <w:rFonts w:hint="eastAsia" w:ascii="仿宋" w:hAnsi="仿宋" w:eastAsia="仿宋" w:cs="仿宋"/>
          <w:color w:val="000000"/>
          <w:sz w:val="32"/>
          <w:szCs w:val="32"/>
        </w:rPr>
        <w:t>八、拟投入项目人员一览表</w:t>
      </w:r>
      <w:bookmarkEnd w:id="351"/>
      <w:bookmarkEnd w:id="352"/>
      <w:bookmarkEnd w:id="353"/>
      <w:bookmarkEnd w:id="354"/>
      <w:bookmarkEnd w:id="355"/>
      <w:bookmarkEnd w:id="356"/>
      <w:bookmarkEnd w:id="357"/>
      <w:bookmarkEnd w:id="358"/>
      <w:bookmarkEnd w:id="359"/>
      <w:bookmarkEnd w:id="360"/>
      <w:bookmarkEnd w:id="361"/>
    </w:p>
    <w:tbl>
      <w:tblPr>
        <w:tblStyle w:val="20"/>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000"/>
        <w:gridCol w:w="721"/>
        <w:gridCol w:w="712"/>
        <w:gridCol w:w="1015"/>
        <w:gridCol w:w="1956"/>
        <w:gridCol w:w="1573"/>
        <w:gridCol w:w="1702"/>
      </w:tblGrid>
      <w:tr w14:paraId="31A79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5CC81E43">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序号</w:t>
            </w:r>
          </w:p>
        </w:tc>
        <w:tc>
          <w:tcPr>
            <w:tcW w:w="1000" w:type="dxa"/>
            <w:vAlign w:val="center"/>
          </w:tcPr>
          <w:p w14:paraId="7C5EA84E">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姓名</w:t>
            </w:r>
          </w:p>
        </w:tc>
        <w:tc>
          <w:tcPr>
            <w:tcW w:w="721" w:type="dxa"/>
            <w:vAlign w:val="center"/>
          </w:tcPr>
          <w:p w14:paraId="0EA1A6AF">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性别</w:t>
            </w:r>
          </w:p>
        </w:tc>
        <w:tc>
          <w:tcPr>
            <w:tcW w:w="712" w:type="dxa"/>
            <w:vAlign w:val="center"/>
          </w:tcPr>
          <w:p w14:paraId="0E16DF70">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年龄</w:t>
            </w:r>
          </w:p>
        </w:tc>
        <w:tc>
          <w:tcPr>
            <w:tcW w:w="1015" w:type="dxa"/>
            <w:vAlign w:val="center"/>
          </w:tcPr>
          <w:p w14:paraId="4E086B04">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专业</w:t>
            </w:r>
          </w:p>
        </w:tc>
        <w:tc>
          <w:tcPr>
            <w:tcW w:w="1956" w:type="dxa"/>
            <w:tcBorders>
              <w:right w:val="single" w:color="000000" w:sz="4" w:space="0"/>
            </w:tcBorders>
            <w:vAlign w:val="center"/>
          </w:tcPr>
          <w:p w14:paraId="11C1EBF4">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相关证书</w:t>
            </w:r>
          </w:p>
        </w:tc>
        <w:tc>
          <w:tcPr>
            <w:tcW w:w="1573" w:type="dxa"/>
            <w:tcBorders>
              <w:left w:val="single" w:color="000000" w:sz="4" w:space="0"/>
              <w:right w:val="single" w:color="000000" w:sz="4" w:space="0"/>
            </w:tcBorders>
            <w:vAlign w:val="center"/>
          </w:tcPr>
          <w:p w14:paraId="018ABA1C">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从事本工作时间</w:t>
            </w:r>
          </w:p>
        </w:tc>
        <w:tc>
          <w:tcPr>
            <w:tcW w:w="1702" w:type="dxa"/>
            <w:tcBorders>
              <w:left w:val="single" w:color="000000" w:sz="4" w:space="0"/>
            </w:tcBorders>
            <w:vAlign w:val="center"/>
          </w:tcPr>
          <w:p w14:paraId="4280813A">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是否缴纳</w:t>
            </w:r>
          </w:p>
          <w:p w14:paraId="41EF2AE0">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社保</w:t>
            </w:r>
          </w:p>
        </w:tc>
      </w:tr>
      <w:tr w14:paraId="625C4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409596C4">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1</w:t>
            </w:r>
          </w:p>
        </w:tc>
        <w:tc>
          <w:tcPr>
            <w:tcW w:w="1000" w:type="dxa"/>
            <w:vAlign w:val="center"/>
          </w:tcPr>
          <w:p w14:paraId="7EC401C0">
            <w:pPr>
              <w:spacing w:line="360" w:lineRule="auto"/>
              <w:rPr>
                <w:rFonts w:ascii="仿宋" w:hAnsi="仿宋" w:eastAsia="仿宋" w:cs="仿宋"/>
                <w:b/>
                <w:color w:val="000000"/>
                <w:sz w:val="24"/>
                <w:szCs w:val="24"/>
              </w:rPr>
            </w:pPr>
          </w:p>
        </w:tc>
        <w:tc>
          <w:tcPr>
            <w:tcW w:w="721" w:type="dxa"/>
            <w:vAlign w:val="center"/>
          </w:tcPr>
          <w:p w14:paraId="09D2CB3B">
            <w:pPr>
              <w:spacing w:line="360" w:lineRule="auto"/>
              <w:rPr>
                <w:rFonts w:ascii="仿宋" w:hAnsi="仿宋" w:eastAsia="仿宋" w:cs="仿宋"/>
                <w:b/>
                <w:color w:val="000000"/>
                <w:sz w:val="24"/>
                <w:szCs w:val="24"/>
              </w:rPr>
            </w:pPr>
          </w:p>
        </w:tc>
        <w:tc>
          <w:tcPr>
            <w:tcW w:w="712" w:type="dxa"/>
            <w:vAlign w:val="center"/>
          </w:tcPr>
          <w:p w14:paraId="7251EFE2">
            <w:pPr>
              <w:spacing w:line="360" w:lineRule="auto"/>
              <w:rPr>
                <w:rFonts w:ascii="仿宋" w:hAnsi="仿宋" w:eastAsia="仿宋" w:cs="仿宋"/>
                <w:b/>
                <w:color w:val="000000"/>
                <w:sz w:val="24"/>
                <w:szCs w:val="24"/>
              </w:rPr>
            </w:pPr>
          </w:p>
        </w:tc>
        <w:tc>
          <w:tcPr>
            <w:tcW w:w="1015" w:type="dxa"/>
            <w:vAlign w:val="center"/>
          </w:tcPr>
          <w:p w14:paraId="366965F3">
            <w:pPr>
              <w:spacing w:line="360" w:lineRule="auto"/>
              <w:rPr>
                <w:rFonts w:ascii="仿宋" w:hAnsi="仿宋" w:eastAsia="仿宋" w:cs="仿宋"/>
                <w:b/>
                <w:color w:val="000000"/>
                <w:sz w:val="24"/>
                <w:szCs w:val="24"/>
              </w:rPr>
            </w:pPr>
          </w:p>
        </w:tc>
        <w:tc>
          <w:tcPr>
            <w:tcW w:w="1956" w:type="dxa"/>
            <w:tcBorders>
              <w:right w:val="single" w:color="000000" w:sz="4" w:space="0"/>
            </w:tcBorders>
            <w:vAlign w:val="center"/>
          </w:tcPr>
          <w:p w14:paraId="0CB15592">
            <w:pPr>
              <w:spacing w:line="360" w:lineRule="auto"/>
              <w:rPr>
                <w:rFonts w:ascii="仿宋" w:hAnsi="仿宋" w:eastAsia="仿宋" w:cs="仿宋"/>
                <w:b/>
                <w:color w:val="000000"/>
                <w:sz w:val="24"/>
                <w:szCs w:val="24"/>
              </w:rPr>
            </w:pPr>
          </w:p>
        </w:tc>
        <w:tc>
          <w:tcPr>
            <w:tcW w:w="1573" w:type="dxa"/>
            <w:tcBorders>
              <w:left w:val="single" w:color="000000" w:sz="4" w:space="0"/>
              <w:right w:val="single" w:color="000000" w:sz="4" w:space="0"/>
            </w:tcBorders>
            <w:vAlign w:val="center"/>
          </w:tcPr>
          <w:p w14:paraId="6C457B50">
            <w:pPr>
              <w:spacing w:line="360" w:lineRule="auto"/>
              <w:rPr>
                <w:rFonts w:ascii="仿宋" w:hAnsi="仿宋" w:eastAsia="仿宋" w:cs="仿宋"/>
                <w:b/>
                <w:color w:val="000000"/>
                <w:sz w:val="24"/>
                <w:szCs w:val="24"/>
              </w:rPr>
            </w:pPr>
          </w:p>
        </w:tc>
        <w:tc>
          <w:tcPr>
            <w:tcW w:w="1702" w:type="dxa"/>
            <w:tcBorders>
              <w:left w:val="single" w:color="000000" w:sz="4" w:space="0"/>
            </w:tcBorders>
            <w:vAlign w:val="center"/>
          </w:tcPr>
          <w:p w14:paraId="02311258">
            <w:pPr>
              <w:spacing w:line="360" w:lineRule="auto"/>
              <w:rPr>
                <w:rFonts w:ascii="仿宋" w:hAnsi="仿宋" w:eastAsia="仿宋" w:cs="仿宋"/>
                <w:b/>
                <w:color w:val="000000"/>
                <w:sz w:val="24"/>
                <w:szCs w:val="24"/>
              </w:rPr>
            </w:pPr>
          </w:p>
        </w:tc>
      </w:tr>
      <w:tr w14:paraId="133D4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0B49ECF6">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2</w:t>
            </w:r>
          </w:p>
        </w:tc>
        <w:tc>
          <w:tcPr>
            <w:tcW w:w="1000" w:type="dxa"/>
            <w:vAlign w:val="center"/>
          </w:tcPr>
          <w:p w14:paraId="511F0C1B">
            <w:pPr>
              <w:spacing w:line="360" w:lineRule="auto"/>
              <w:rPr>
                <w:rFonts w:ascii="仿宋" w:hAnsi="仿宋" w:eastAsia="仿宋" w:cs="仿宋"/>
                <w:b/>
                <w:color w:val="000000"/>
                <w:sz w:val="24"/>
                <w:szCs w:val="24"/>
              </w:rPr>
            </w:pPr>
          </w:p>
        </w:tc>
        <w:tc>
          <w:tcPr>
            <w:tcW w:w="721" w:type="dxa"/>
            <w:vAlign w:val="center"/>
          </w:tcPr>
          <w:p w14:paraId="0E6E125F">
            <w:pPr>
              <w:spacing w:line="360" w:lineRule="auto"/>
              <w:rPr>
                <w:rFonts w:ascii="仿宋" w:hAnsi="仿宋" w:eastAsia="仿宋" w:cs="仿宋"/>
                <w:b/>
                <w:color w:val="000000"/>
                <w:sz w:val="24"/>
                <w:szCs w:val="24"/>
              </w:rPr>
            </w:pPr>
          </w:p>
        </w:tc>
        <w:tc>
          <w:tcPr>
            <w:tcW w:w="712" w:type="dxa"/>
            <w:vAlign w:val="center"/>
          </w:tcPr>
          <w:p w14:paraId="1DE609C0">
            <w:pPr>
              <w:spacing w:line="360" w:lineRule="auto"/>
              <w:rPr>
                <w:rFonts w:ascii="仿宋" w:hAnsi="仿宋" w:eastAsia="仿宋" w:cs="仿宋"/>
                <w:b/>
                <w:color w:val="000000"/>
                <w:sz w:val="24"/>
                <w:szCs w:val="24"/>
              </w:rPr>
            </w:pPr>
          </w:p>
        </w:tc>
        <w:tc>
          <w:tcPr>
            <w:tcW w:w="1015" w:type="dxa"/>
            <w:vAlign w:val="center"/>
          </w:tcPr>
          <w:p w14:paraId="657138A8">
            <w:pPr>
              <w:spacing w:line="360" w:lineRule="auto"/>
              <w:rPr>
                <w:rFonts w:ascii="仿宋" w:hAnsi="仿宋" w:eastAsia="仿宋" w:cs="仿宋"/>
                <w:b/>
                <w:color w:val="000000"/>
                <w:sz w:val="24"/>
                <w:szCs w:val="24"/>
              </w:rPr>
            </w:pPr>
          </w:p>
        </w:tc>
        <w:tc>
          <w:tcPr>
            <w:tcW w:w="1956" w:type="dxa"/>
            <w:tcBorders>
              <w:right w:val="single" w:color="000000" w:sz="4" w:space="0"/>
            </w:tcBorders>
            <w:vAlign w:val="center"/>
          </w:tcPr>
          <w:p w14:paraId="2F77CB25">
            <w:pPr>
              <w:spacing w:line="360" w:lineRule="auto"/>
              <w:rPr>
                <w:rFonts w:ascii="仿宋" w:hAnsi="仿宋" w:eastAsia="仿宋" w:cs="仿宋"/>
                <w:b/>
                <w:color w:val="000000"/>
                <w:sz w:val="24"/>
                <w:szCs w:val="24"/>
              </w:rPr>
            </w:pPr>
          </w:p>
        </w:tc>
        <w:tc>
          <w:tcPr>
            <w:tcW w:w="1573" w:type="dxa"/>
            <w:tcBorders>
              <w:left w:val="single" w:color="000000" w:sz="4" w:space="0"/>
              <w:right w:val="single" w:color="000000" w:sz="4" w:space="0"/>
            </w:tcBorders>
            <w:vAlign w:val="center"/>
          </w:tcPr>
          <w:p w14:paraId="622B2479">
            <w:pPr>
              <w:spacing w:line="360" w:lineRule="auto"/>
              <w:rPr>
                <w:rFonts w:ascii="仿宋" w:hAnsi="仿宋" w:eastAsia="仿宋" w:cs="仿宋"/>
                <w:b/>
                <w:color w:val="000000"/>
                <w:sz w:val="24"/>
                <w:szCs w:val="24"/>
              </w:rPr>
            </w:pPr>
          </w:p>
        </w:tc>
        <w:tc>
          <w:tcPr>
            <w:tcW w:w="1702" w:type="dxa"/>
            <w:tcBorders>
              <w:left w:val="single" w:color="000000" w:sz="4" w:space="0"/>
            </w:tcBorders>
            <w:vAlign w:val="center"/>
          </w:tcPr>
          <w:p w14:paraId="076E4B19">
            <w:pPr>
              <w:spacing w:line="360" w:lineRule="auto"/>
              <w:rPr>
                <w:rFonts w:ascii="仿宋" w:hAnsi="仿宋" w:eastAsia="仿宋" w:cs="仿宋"/>
                <w:b/>
                <w:color w:val="000000"/>
                <w:sz w:val="24"/>
                <w:szCs w:val="24"/>
              </w:rPr>
            </w:pPr>
          </w:p>
        </w:tc>
      </w:tr>
      <w:tr w14:paraId="00801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37A0943E">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3</w:t>
            </w:r>
          </w:p>
        </w:tc>
        <w:tc>
          <w:tcPr>
            <w:tcW w:w="1000" w:type="dxa"/>
            <w:vAlign w:val="center"/>
          </w:tcPr>
          <w:p w14:paraId="7BEEBC62">
            <w:pPr>
              <w:spacing w:line="360" w:lineRule="auto"/>
              <w:rPr>
                <w:rFonts w:ascii="仿宋" w:hAnsi="仿宋" w:eastAsia="仿宋" w:cs="仿宋"/>
                <w:b/>
                <w:color w:val="000000"/>
                <w:sz w:val="24"/>
                <w:szCs w:val="24"/>
              </w:rPr>
            </w:pPr>
          </w:p>
        </w:tc>
        <w:tc>
          <w:tcPr>
            <w:tcW w:w="721" w:type="dxa"/>
            <w:vAlign w:val="center"/>
          </w:tcPr>
          <w:p w14:paraId="47C5F758">
            <w:pPr>
              <w:spacing w:line="360" w:lineRule="auto"/>
              <w:rPr>
                <w:rFonts w:ascii="仿宋" w:hAnsi="仿宋" w:eastAsia="仿宋" w:cs="仿宋"/>
                <w:b/>
                <w:color w:val="000000"/>
                <w:sz w:val="24"/>
                <w:szCs w:val="24"/>
              </w:rPr>
            </w:pPr>
          </w:p>
        </w:tc>
        <w:tc>
          <w:tcPr>
            <w:tcW w:w="712" w:type="dxa"/>
            <w:vAlign w:val="center"/>
          </w:tcPr>
          <w:p w14:paraId="2E5353DF">
            <w:pPr>
              <w:spacing w:line="360" w:lineRule="auto"/>
              <w:rPr>
                <w:rFonts w:ascii="仿宋" w:hAnsi="仿宋" w:eastAsia="仿宋" w:cs="仿宋"/>
                <w:b/>
                <w:color w:val="000000"/>
                <w:sz w:val="24"/>
                <w:szCs w:val="24"/>
              </w:rPr>
            </w:pPr>
          </w:p>
        </w:tc>
        <w:tc>
          <w:tcPr>
            <w:tcW w:w="1015" w:type="dxa"/>
            <w:vAlign w:val="center"/>
          </w:tcPr>
          <w:p w14:paraId="53FED3EB">
            <w:pPr>
              <w:spacing w:line="360" w:lineRule="auto"/>
              <w:rPr>
                <w:rFonts w:ascii="仿宋" w:hAnsi="仿宋" w:eastAsia="仿宋" w:cs="仿宋"/>
                <w:b/>
                <w:color w:val="000000"/>
                <w:sz w:val="24"/>
                <w:szCs w:val="24"/>
              </w:rPr>
            </w:pPr>
          </w:p>
        </w:tc>
        <w:tc>
          <w:tcPr>
            <w:tcW w:w="1956" w:type="dxa"/>
            <w:tcBorders>
              <w:right w:val="single" w:color="000000" w:sz="4" w:space="0"/>
            </w:tcBorders>
            <w:vAlign w:val="center"/>
          </w:tcPr>
          <w:p w14:paraId="15826278">
            <w:pPr>
              <w:spacing w:line="360" w:lineRule="auto"/>
              <w:rPr>
                <w:rFonts w:ascii="仿宋" w:hAnsi="仿宋" w:eastAsia="仿宋" w:cs="仿宋"/>
                <w:b/>
                <w:color w:val="000000"/>
                <w:sz w:val="24"/>
                <w:szCs w:val="24"/>
              </w:rPr>
            </w:pPr>
          </w:p>
        </w:tc>
        <w:tc>
          <w:tcPr>
            <w:tcW w:w="1573" w:type="dxa"/>
            <w:tcBorders>
              <w:left w:val="single" w:color="000000" w:sz="4" w:space="0"/>
              <w:right w:val="single" w:color="000000" w:sz="4" w:space="0"/>
            </w:tcBorders>
            <w:vAlign w:val="center"/>
          </w:tcPr>
          <w:p w14:paraId="75AEA408">
            <w:pPr>
              <w:spacing w:line="360" w:lineRule="auto"/>
              <w:rPr>
                <w:rFonts w:ascii="仿宋" w:hAnsi="仿宋" w:eastAsia="仿宋" w:cs="仿宋"/>
                <w:b/>
                <w:color w:val="000000"/>
                <w:sz w:val="24"/>
                <w:szCs w:val="24"/>
              </w:rPr>
            </w:pPr>
          </w:p>
        </w:tc>
        <w:tc>
          <w:tcPr>
            <w:tcW w:w="1702" w:type="dxa"/>
            <w:tcBorders>
              <w:left w:val="single" w:color="000000" w:sz="4" w:space="0"/>
            </w:tcBorders>
            <w:vAlign w:val="center"/>
          </w:tcPr>
          <w:p w14:paraId="30A98A96">
            <w:pPr>
              <w:spacing w:line="360" w:lineRule="auto"/>
              <w:rPr>
                <w:rFonts w:ascii="仿宋" w:hAnsi="仿宋" w:eastAsia="仿宋" w:cs="仿宋"/>
                <w:b/>
                <w:color w:val="000000"/>
                <w:sz w:val="24"/>
                <w:szCs w:val="24"/>
              </w:rPr>
            </w:pPr>
          </w:p>
        </w:tc>
      </w:tr>
      <w:tr w14:paraId="1548E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1E15E5AA">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4</w:t>
            </w:r>
          </w:p>
        </w:tc>
        <w:tc>
          <w:tcPr>
            <w:tcW w:w="1000" w:type="dxa"/>
            <w:vAlign w:val="center"/>
          </w:tcPr>
          <w:p w14:paraId="3DE1C82E">
            <w:pPr>
              <w:spacing w:line="360" w:lineRule="auto"/>
              <w:rPr>
                <w:rFonts w:ascii="仿宋" w:hAnsi="仿宋" w:eastAsia="仿宋" w:cs="仿宋"/>
                <w:b/>
                <w:color w:val="000000"/>
                <w:sz w:val="24"/>
                <w:szCs w:val="24"/>
              </w:rPr>
            </w:pPr>
          </w:p>
        </w:tc>
        <w:tc>
          <w:tcPr>
            <w:tcW w:w="721" w:type="dxa"/>
            <w:vAlign w:val="center"/>
          </w:tcPr>
          <w:p w14:paraId="585C7FCA">
            <w:pPr>
              <w:spacing w:line="360" w:lineRule="auto"/>
              <w:rPr>
                <w:rFonts w:ascii="仿宋" w:hAnsi="仿宋" w:eastAsia="仿宋" w:cs="仿宋"/>
                <w:b/>
                <w:color w:val="000000"/>
                <w:sz w:val="24"/>
                <w:szCs w:val="24"/>
              </w:rPr>
            </w:pPr>
          </w:p>
        </w:tc>
        <w:tc>
          <w:tcPr>
            <w:tcW w:w="712" w:type="dxa"/>
            <w:vAlign w:val="center"/>
          </w:tcPr>
          <w:p w14:paraId="6C91D815">
            <w:pPr>
              <w:spacing w:line="360" w:lineRule="auto"/>
              <w:rPr>
                <w:rFonts w:ascii="仿宋" w:hAnsi="仿宋" w:eastAsia="仿宋" w:cs="仿宋"/>
                <w:b/>
                <w:color w:val="000000"/>
                <w:sz w:val="24"/>
                <w:szCs w:val="24"/>
              </w:rPr>
            </w:pPr>
          </w:p>
        </w:tc>
        <w:tc>
          <w:tcPr>
            <w:tcW w:w="1015" w:type="dxa"/>
            <w:vAlign w:val="center"/>
          </w:tcPr>
          <w:p w14:paraId="1DD815A5">
            <w:pPr>
              <w:spacing w:line="360" w:lineRule="auto"/>
              <w:rPr>
                <w:rFonts w:ascii="仿宋" w:hAnsi="仿宋" w:eastAsia="仿宋" w:cs="仿宋"/>
                <w:b/>
                <w:color w:val="000000"/>
                <w:sz w:val="24"/>
                <w:szCs w:val="24"/>
              </w:rPr>
            </w:pPr>
          </w:p>
        </w:tc>
        <w:tc>
          <w:tcPr>
            <w:tcW w:w="1956" w:type="dxa"/>
            <w:tcBorders>
              <w:right w:val="single" w:color="000000" w:sz="4" w:space="0"/>
            </w:tcBorders>
            <w:vAlign w:val="center"/>
          </w:tcPr>
          <w:p w14:paraId="1AA007B5">
            <w:pPr>
              <w:spacing w:line="360" w:lineRule="auto"/>
              <w:rPr>
                <w:rFonts w:ascii="仿宋" w:hAnsi="仿宋" w:eastAsia="仿宋" w:cs="仿宋"/>
                <w:b/>
                <w:color w:val="000000"/>
                <w:sz w:val="24"/>
                <w:szCs w:val="24"/>
              </w:rPr>
            </w:pPr>
          </w:p>
        </w:tc>
        <w:tc>
          <w:tcPr>
            <w:tcW w:w="1573" w:type="dxa"/>
            <w:tcBorders>
              <w:left w:val="single" w:color="000000" w:sz="4" w:space="0"/>
              <w:right w:val="single" w:color="000000" w:sz="4" w:space="0"/>
            </w:tcBorders>
            <w:vAlign w:val="center"/>
          </w:tcPr>
          <w:p w14:paraId="3BE843E3">
            <w:pPr>
              <w:spacing w:line="360" w:lineRule="auto"/>
              <w:rPr>
                <w:rFonts w:ascii="仿宋" w:hAnsi="仿宋" w:eastAsia="仿宋" w:cs="仿宋"/>
                <w:b/>
                <w:color w:val="000000"/>
                <w:sz w:val="24"/>
                <w:szCs w:val="24"/>
              </w:rPr>
            </w:pPr>
          </w:p>
        </w:tc>
        <w:tc>
          <w:tcPr>
            <w:tcW w:w="1702" w:type="dxa"/>
            <w:tcBorders>
              <w:left w:val="single" w:color="000000" w:sz="4" w:space="0"/>
            </w:tcBorders>
            <w:vAlign w:val="center"/>
          </w:tcPr>
          <w:p w14:paraId="45ADF583">
            <w:pPr>
              <w:spacing w:line="360" w:lineRule="auto"/>
              <w:rPr>
                <w:rFonts w:ascii="仿宋" w:hAnsi="仿宋" w:eastAsia="仿宋" w:cs="仿宋"/>
                <w:b/>
                <w:color w:val="000000"/>
                <w:sz w:val="24"/>
                <w:szCs w:val="24"/>
              </w:rPr>
            </w:pPr>
          </w:p>
        </w:tc>
      </w:tr>
      <w:tr w14:paraId="71BF9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2E7743ED">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5</w:t>
            </w:r>
          </w:p>
        </w:tc>
        <w:tc>
          <w:tcPr>
            <w:tcW w:w="1000" w:type="dxa"/>
            <w:vAlign w:val="center"/>
          </w:tcPr>
          <w:p w14:paraId="5B29A830">
            <w:pPr>
              <w:spacing w:line="360" w:lineRule="auto"/>
              <w:rPr>
                <w:rFonts w:ascii="仿宋" w:hAnsi="仿宋" w:eastAsia="仿宋" w:cs="仿宋"/>
                <w:b/>
                <w:color w:val="000000"/>
                <w:sz w:val="24"/>
                <w:szCs w:val="24"/>
              </w:rPr>
            </w:pPr>
          </w:p>
        </w:tc>
        <w:tc>
          <w:tcPr>
            <w:tcW w:w="721" w:type="dxa"/>
            <w:vAlign w:val="center"/>
          </w:tcPr>
          <w:p w14:paraId="145353F8">
            <w:pPr>
              <w:spacing w:line="360" w:lineRule="auto"/>
              <w:rPr>
                <w:rFonts w:ascii="仿宋" w:hAnsi="仿宋" w:eastAsia="仿宋" w:cs="仿宋"/>
                <w:b/>
                <w:color w:val="000000"/>
                <w:sz w:val="24"/>
                <w:szCs w:val="24"/>
              </w:rPr>
            </w:pPr>
          </w:p>
        </w:tc>
        <w:tc>
          <w:tcPr>
            <w:tcW w:w="712" w:type="dxa"/>
            <w:vAlign w:val="center"/>
          </w:tcPr>
          <w:p w14:paraId="6755778B">
            <w:pPr>
              <w:spacing w:line="360" w:lineRule="auto"/>
              <w:rPr>
                <w:rFonts w:ascii="仿宋" w:hAnsi="仿宋" w:eastAsia="仿宋" w:cs="仿宋"/>
                <w:b/>
                <w:color w:val="000000"/>
                <w:sz w:val="24"/>
                <w:szCs w:val="24"/>
              </w:rPr>
            </w:pPr>
          </w:p>
        </w:tc>
        <w:tc>
          <w:tcPr>
            <w:tcW w:w="1015" w:type="dxa"/>
            <w:vAlign w:val="center"/>
          </w:tcPr>
          <w:p w14:paraId="60C58CA3">
            <w:pPr>
              <w:spacing w:line="360" w:lineRule="auto"/>
              <w:rPr>
                <w:rFonts w:ascii="仿宋" w:hAnsi="仿宋" w:eastAsia="仿宋" w:cs="仿宋"/>
                <w:b/>
                <w:color w:val="000000"/>
                <w:sz w:val="24"/>
                <w:szCs w:val="24"/>
              </w:rPr>
            </w:pPr>
          </w:p>
        </w:tc>
        <w:tc>
          <w:tcPr>
            <w:tcW w:w="1956" w:type="dxa"/>
            <w:tcBorders>
              <w:right w:val="single" w:color="000000" w:sz="4" w:space="0"/>
            </w:tcBorders>
            <w:vAlign w:val="center"/>
          </w:tcPr>
          <w:p w14:paraId="2E12E0BD">
            <w:pPr>
              <w:spacing w:line="360" w:lineRule="auto"/>
              <w:rPr>
                <w:rFonts w:ascii="仿宋" w:hAnsi="仿宋" w:eastAsia="仿宋" w:cs="仿宋"/>
                <w:b/>
                <w:color w:val="000000"/>
                <w:sz w:val="24"/>
                <w:szCs w:val="24"/>
              </w:rPr>
            </w:pPr>
          </w:p>
        </w:tc>
        <w:tc>
          <w:tcPr>
            <w:tcW w:w="1573" w:type="dxa"/>
            <w:tcBorders>
              <w:left w:val="single" w:color="000000" w:sz="4" w:space="0"/>
              <w:right w:val="single" w:color="000000" w:sz="4" w:space="0"/>
            </w:tcBorders>
            <w:vAlign w:val="center"/>
          </w:tcPr>
          <w:p w14:paraId="5D2B94F9">
            <w:pPr>
              <w:spacing w:line="360" w:lineRule="auto"/>
              <w:rPr>
                <w:rFonts w:ascii="仿宋" w:hAnsi="仿宋" w:eastAsia="仿宋" w:cs="仿宋"/>
                <w:b/>
                <w:color w:val="000000"/>
                <w:sz w:val="24"/>
                <w:szCs w:val="24"/>
              </w:rPr>
            </w:pPr>
          </w:p>
        </w:tc>
        <w:tc>
          <w:tcPr>
            <w:tcW w:w="1702" w:type="dxa"/>
            <w:tcBorders>
              <w:left w:val="single" w:color="000000" w:sz="4" w:space="0"/>
            </w:tcBorders>
            <w:vAlign w:val="center"/>
          </w:tcPr>
          <w:p w14:paraId="78E3733E">
            <w:pPr>
              <w:spacing w:line="360" w:lineRule="auto"/>
              <w:rPr>
                <w:rFonts w:ascii="仿宋" w:hAnsi="仿宋" w:eastAsia="仿宋" w:cs="仿宋"/>
                <w:b/>
                <w:color w:val="000000"/>
                <w:sz w:val="24"/>
                <w:szCs w:val="24"/>
              </w:rPr>
            </w:pPr>
          </w:p>
        </w:tc>
      </w:tr>
      <w:tr w14:paraId="09A8B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43675C6A">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6</w:t>
            </w:r>
          </w:p>
        </w:tc>
        <w:tc>
          <w:tcPr>
            <w:tcW w:w="1000" w:type="dxa"/>
            <w:vAlign w:val="center"/>
          </w:tcPr>
          <w:p w14:paraId="7975A20A">
            <w:pPr>
              <w:spacing w:line="360" w:lineRule="auto"/>
              <w:rPr>
                <w:rFonts w:ascii="仿宋" w:hAnsi="仿宋" w:eastAsia="仿宋" w:cs="仿宋"/>
                <w:b/>
                <w:color w:val="000000"/>
                <w:sz w:val="24"/>
                <w:szCs w:val="24"/>
              </w:rPr>
            </w:pPr>
          </w:p>
        </w:tc>
        <w:tc>
          <w:tcPr>
            <w:tcW w:w="721" w:type="dxa"/>
            <w:vAlign w:val="center"/>
          </w:tcPr>
          <w:p w14:paraId="45478155">
            <w:pPr>
              <w:spacing w:line="360" w:lineRule="auto"/>
              <w:rPr>
                <w:rFonts w:ascii="仿宋" w:hAnsi="仿宋" w:eastAsia="仿宋" w:cs="仿宋"/>
                <w:b/>
                <w:color w:val="000000"/>
                <w:sz w:val="24"/>
                <w:szCs w:val="24"/>
              </w:rPr>
            </w:pPr>
          </w:p>
        </w:tc>
        <w:tc>
          <w:tcPr>
            <w:tcW w:w="712" w:type="dxa"/>
            <w:vAlign w:val="center"/>
          </w:tcPr>
          <w:p w14:paraId="230ECD12">
            <w:pPr>
              <w:spacing w:line="360" w:lineRule="auto"/>
              <w:rPr>
                <w:rFonts w:ascii="仿宋" w:hAnsi="仿宋" w:eastAsia="仿宋" w:cs="仿宋"/>
                <w:b/>
                <w:color w:val="000000"/>
                <w:sz w:val="24"/>
                <w:szCs w:val="24"/>
              </w:rPr>
            </w:pPr>
          </w:p>
        </w:tc>
        <w:tc>
          <w:tcPr>
            <w:tcW w:w="1015" w:type="dxa"/>
            <w:vAlign w:val="center"/>
          </w:tcPr>
          <w:p w14:paraId="0A450906">
            <w:pPr>
              <w:spacing w:line="360" w:lineRule="auto"/>
              <w:rPr>
                <w:rFonts w:ascii="仿宋" w:hAnsi="仿宋" w:eastAsia="仿宋" w:cs="仿宋"/>
                <w:b/>
                <w:color w:val="000000"/>
                <w:sz w:val="24"/>
                <w:szCs w:val="24"/>
              </w:rPr>
            </w:pPr>
          </w:p>
        </w:tc>
        <w:tc>
          <w:tcPr>
            <w:tcW w:w="1956" w:type="dxa"/>
            <w:tcBorders>
              <w:right w:val="single" w:color="000000" w:sz="4" w:space="0"/>
            </w:tcBorders>
            <w:vAlign w:val="center"/>
          </w:tcPr>
          <w:p w14:paraId="147543EA">
            <w:pPr>
              <w:spacing w:line="360" w:lineRule="auto"/>
              <w:rPr>
                <w:rFonts w:ascii="仿宋" w:hAnsi="仿宋" w:eastAsia="仿宋" w:cs="仿宋"/>
                <w:b/>
                <w:color w:val="000000"/>
                <w:sz w:val="24"/>
                <w:szCs w:val="24"/>
              </w:rPr>
            </w:pPr>
          </w:p>
        </w:tc>
        <w:tc>
          <w:tcPr>
            <w:tcW w:w="1573" w:type="dxa"/>
            <w:tcBorders>
              <w:left w:val="single" w:color="000000" w:sz="4" w:space="0"/>
              <w:right w:val="single" w:color="000000" w:sz="4" w:space="0"/>
            </w:tcBorders>
            <w:vAlign w:val="center"/>
          </w:tcPr>
          <w:p w14:paraId="44EC85BD">
            <w:pPr>
              <w:spacing w:line="360" w:lineRule="auto"/>
              <w:rPr>
                <w:rFonts w:ascii="仿宋" w:hAnsi="仿宋" w:eastAsia="仿宋" w:cs="仿宋"/>
                <w:b/>
                <w:color w:val="000000"/>
                <w:sz w:val="24"/>
                <w:szCs w:val="24"/>
              </w:rPr>
            </w:pPr>
          </w:p>
        </w:tc>
        <w:tc>
          <w:tcPr>
            <w:tcW w:w="1702" w:type="dxa"/>
            <w:tcBorders>
              <w:left w:val="single" w:color="000000" w:sz="4" w:space="0"/>
            </w:tcBorders>
            <w:vAlign w:val="center"/>
          </w:tcPr>
          <w:p w14:paraId="353C2067">
            <w:pPr>
              <w:spacing w:line="360" w:lineRule="auto"/>
              <w:rPr>
                <w:rFonts w:ascii="仿宋" w:hAnsi="仿宋" w:eastAsia="仿宋" w:cs="仿宋"/>
                <w:b/>
                <w:color w:val="000000"/>
                <w:sz w:val="24"/>
                <w:szCs w:val="24"/>
              </w:rPr>
            </w:pPr>
          </w:p>
        </w:tc>
      </w:tr>
      <w:tr w14:paraId="15F67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7E753A45">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7</w:t>
            </w:r>
          </w:p>
        </w:tc>
        <w:tc>
          <w:tcPr>
            <w:tcW w:w="1000" w:type="dxa"/>
            <w:vAlign w:val="center"/>
          </w:tcPr>
          <w:p w14:paraId="197D3804">
            <w:pPr>
              <w:spacing w:line="360" w:lineRule="auto"/>
              <w:rPr>
                <w:rFonts w:ascii="仿宋" w:hAnsi="仿宋" w:eastAsia="仿宋" w:cs="仿宋"/>
                <w:b/>
                <w:color w:val="000000"/>
                <w:sz w:val="24"/>
                <w:szCs w:val="24"/>
              </w:rPr>
            </w:pPr>
          </w:p>
        </w:tc>
        <w:tc>
          <w:tcPr>
            <w:tcW w:w="721" w:type="dxa"/>
            <w:vAlign w:val="center"/>
          </w:tcPr>
          <w:p w14:paraId="3903AFD4">
            <w:pPr>
              <w:spacing w:line="360" w:lineRule="auto"/>
              <w:rPr>
                <w:rFonts w:ascii="仿宋" w:hAnsi="仿宋" w:eastAsia="仿宋" w:cs="仿宋"/>
                <w:b/>
                <w:color w:val="000000"/>
                <w:sz w:val="24"/>
                <w:szCs w:val="24"/>
              </w:rPr>
            </w:pPr>
          </w:p>
        </w:tc>
        <w:tc>
          <w:tcPr>
            <w:tcW w:w="712" w:type="dxa"/>
            <w:vAlign w:val="center"/>
          </w:tcPr>
          <w:p w14:paraId="56C49C56">
            <w:pPr>
              <w:spacing w:line="360" w:lineRule="auto"/>
              <w:rPr>
                <w:rFonts w:ascii="仿宋" w:hAnsi="仿宋" w:eastAsia="仿宋" w:cs="仿宋"/>
                <w:b/>
                <w:color w:val="000000"/>
                <w:sz w:val="24"/>
                <w:szCs w:val="24"/>
              </w:rPr>
            </w:pPr>
          </w:p>
        </w:tc>
        <w:tc>
          <w:tcPr>
            <w:tcW w:w="1015" w:type="dxa"/>
            <w:vAlign w:val="center"/>
          </w:tcPr>
          <w:p w14:paraId="5436D0DB">
            <w:pPr>
              <w:spacing w:line="360" w:lineRule="auto"/>
              <w:rPr>
                <w:rFonts w:ascii="仿宋" w:hAnsi="仿宋" w:eastAsia="仿宋" w:cs="仿宋"/>
                <w:b/>
                <w:color w:val="000000"/>
                <w:sz w:val="24"/>
                <w:szCs w:val="24"/>
              </w:rPr>
            </w:pPr>
          </w:p>
        </w:tc>
        <w:tc>
          <w:tcPr>
            <w:tcW w:w="1956" w:type="dxa"/>
            <w:tcBorders>
              <w:right w:val="single" w:color="000000" w:sz="4" w:space="0"/>
            </w:tcBorders>
            <w:vAlign w:val="center"/>
          </w:tcPr>
          <w:p w14:paraId="24209A8A">
            <w:pPr>
              <w:spacing w:line="360" w:lineRule="auto"/>
              <w:rPr>
                <w:rFonts w:ascii="仿宋" w:hAnsi="仿宋" w:eastAsia="仿宋" w:cs="仿宋"/>
                <w:b/>
                <w:color w:val="000000"/>
                <w:sz w:val="24"/>
                <w:szCs w:val="24"/>
              </w:rPr>
            </w:pPr>
          </w:p>
        </w:tc>
        <w:tc>
          <w:tcPr>
            <w:tcW w:w="1573" w:type="dxa"/>
            <w:tcBorders>
              <w:left w:val="single" w:color="000000" w:sz="4" w:space="0"/>
              <w:right w:val="single" w:color="000000" w:sz="4" w:space="0"/>
            </w:tcBorders>
            <w:vAlign w:val="center"/>
          </w:tcPr>
          <w:p w14:paraId="01CA894E">
            <w:pPr>
              <w:spacing w:line="360" w:lineRule="auto"/>
              <w:rPr>
                <w:rFonts w:ascii="仿宋" w:hAnsi="仿宋" w:eastAsia="仿宋" w:cs="仿宋"/>
                <w:b/>
                <w:color w:val="000000"/>
                <w:sz w:val="24"/>
                <w:szCs w:val="24"/>
              </w:rPr>
            </w:pPr>
          </w:p>
        </w:tc>
        <w:tc>
          <w:tcPr>
            <w:tcW w:w="1702" w:type="dxa"/>
            <w:tcBorders>
              <w:left w:val="single" w:color="000000" w:sz="4" w:space="0"/>
            </w:tcBorders>
            <w:vAlign w:val="center"/>
          </w:tcPr>
          <w:p w14:paraId="7CE5CD51">
            <w:pPr>
              <w:spacing w:line="360" w:lineRule="auto"/>
              <w:rPr>
                <w:rFonts w:ascii="仿宋" w:hAnsi="仿宋" w:eastAsia="仿宋" w:cs="仿宋"/>
                <w:b/>
                <w:color w:val="000000"/>
                <w:sz w:val="24"/>
                <w:szCs w:val="24"/>
              </w:rPr>
            </w:pPr>
          </w:p>
        </w:tc>
      </w:tr>
      <w:tr w14:paraId="1CD42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49E13CFE">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8</w:t>
            </w:r>
          </w:p>
        </w:tc>
        <w:tc>
          <w:tcPr>
            <w:tcW w:w="1000" w:type="dxa"/>
            <w:vAlign w:val="center"/>
          </w:tcPr>
          <w:p w14:paraId="49D7577D">
            <w:pPr>
              <w:spacing w:line="360" w:lineRule="auto"/>
              <w:rPr>
                <w:rFonts w:ascii="仿宋" w:hAnsi="仿宋" w:eastAsia="仿宋" w:cs="仿宋"/>
                <w:b/>
                <w:color w:val="000000"/>
                <w:sz w:val="24"/>
                <w:szCs w:val="24"/>
              </w:rPr>
            </w:pPr>
          </w:p>
        </w:tc>
        <w:tc>
          <w:tcPr>
            <w:tcW w:w="721" w:type="dxa"/>
            <w:vAlign w:val="center"/>
          </w:tcPr>
          <w:p w14:paraId="7FEC1834">
            <w:pPr>
              <w:spacing w:line="360" w:lineRule="auto"/>
              <w:rPr>
                <w:rFonts w:ascii="仿宋" w:hAnsi="仿宋" w:eastAsia="仿宋" w:cs="仿宋"/>
                <w:b/>
                <w:color w:val="000000"/>
                <w:sz w:val="24"/>
                <w:szCs w:val="24"/>
              </w:rPr>
            </w:pPr>
          </w:p>
        </w:tc>
        <w:tc>
          <w:tcPr>
            <w:tcW w:w="712" w:type="dxa"/>
            <w:vAlign w:val="center"/>
          </w:tcPr>
          <w:p w14:paraId="5ECA0439">
            <w:pPr>
              <w:spacing w:line="360" w:lineRule="auto"/>
              <w:rPr>
                <w:rFonts w:ascii="仿宋" w:hAnsi="仿宋" w:eastAsia="仿宋" w:cs="仿宋"/>
                <w:b/>
                <w:color w:val="000000"/>
                <w:sz w:val="24"/>
                <w:szCs w:val="24"/>
              </w:rPr>
            </w:pPr>
          </w:p>
        </w:tc>
        <w:tc>
          <w:tcPr>
            <w:tcW w:w="1015" w:type="dxa"/>
            <w:vAlign w:val="center"/>
          </w:tcPr>
          <w:p w14:paraId="5CDF9866">
            <w:pPr>
              <w:spacing w:line="360" w:lineRule="auto"/>
              <w:rPr>
                <w:rFonts w:ascii="仿宋" w:hAnsi="仿宋" w:eastAsia="仿宋" w:cs="仿宋"/>
                <w:b/>
                <w:color w:val="000000"/>
                <w:sz w:val="24"/>
                <w:szCs w:val="24"/>
              </w:rPr>
            </w:pPr>
          </w:p>
        </w:tc>
        <w:tc>
          <w:tcPr>
            <w:tcW w:w="1956" w:type="dxa"/>
            <w:tcBorders>
              <w:right w:val="single" w:color="000000" w:sz="4" w:space="0"/>
            </w:tcBorders>
            <w:vAlign w:val="center"/>
          </w:tcPr>
          <w:p w14:paraId="18E1A7BC">
            <w:pPr>
              <w:spacing w:line="360" w:lineRule="auto"/>
              <w:rPr>
                <w:rFonts w:ascii="仿宋" w:hAnsi="仿宋" w:eastAsia="仿宋" w:cs="仿宋"/>
                <w:b/>
                <w:color w:val="000000"/>
                <w:sz w:val="24"/>
                <w:szCs w:val="24"/>
              </w:rPr>
            </w:pPr>
          </w:p>
        </w:tc>
        <w:tc>
          <w:tcPr>
            <w:tcW w:w="1573" w:type="dxa"/>
            <w:tcBorders>
              <w:left w:val="single" w:color="000000" w:sz="4" w:space="0"/>
              <w:right w:val="single" w:color="000000" w:sz="4" w:space="0"/>
            </w:tcBorders>
            <w:vAlign w:val="center"/>
          </w:tcPr>
          <w:p w14:paraId="702AECDE">
            <w:pPr>
              <w:spacing w:line="360" w:lineRule="auto"/>
              <w:rPr>
                <w:rFonts w:ascii="仿宋" w:hAnsi="仿宋" w:eastAsia="仿宋" w:cs="仿宋"/>
                <w:b/>
                <w:color w:val="000000"/>
                <w:sz w:val="24"/>
                <w:szCs w:val="24"/>
              </w:rPr>
            </w:pPr>
          </w:p>
        </w:tc>
        <w:tc>
          <w:tcPr>
            <w:tcW w:w="1702" w:type="dxa"/>
            <w:tcBorders>
              <w:left w:val="single" w:color="000000" w:sz="4" w:space="0"/>
            </w:tcBorders>
            <w:vAlign w:val="center"/>
          </w:tcPr>
          <w:p w14:paraId="385294AB">
            <w:pPr>
              <w:spacing w:line="360" w:lineRule="auto"/>
              <w:rPr>
                <w:rFonts w:ascii="仿宋" w:hAnsi="仿宋" w:eastAsia="仿宋" w:cs="仿宋"/>
                <w:b/>
                <w:color w:val="000000"/>
                <w:sz w:val="24"/>
                <w:szCs w:val="24"/>
              </w:rPr>
            </w:pPr>
          </w:p>
        </w:tc>
      </w:tr>
      <w:tr w14:paraId="30A8C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819" w:type="dxa"/>
            <w:vAlign w:val="center"/>
          </w:tcPr>
          <w:p w14:paraId="45F9A63E">
            <w:pPr>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w:t>
            </w:r>
          </w:p>
        </w:tc>
        <w:tc>
          <w:tcPr>
            <w:tcW w:w="1000" w:type="dxa"/>
            <w:vAlign w:val="center"/>
          </w:tcPr>
          <w:p w14:paraId="333F5A83">
            <w:pPr>
              <w:spacing w:line="360" w:lineRule="auto"/>
              <w:rPr>
                <w:rFonts w:ascii="仿宋" w:hAnsi="仿宋" w:eastAsia="仿宋" w:cs="仿宋"/>
                <w:b/>
                <w:color w:val="000000"/>
                <w:sz w:val="24"/>
                <w:szCs w:val="24"/>
              </w:rPr>
            </w:pPr>
          </w:p>
        </w:tc>
        <w:tc>
          <w:tcPr>
            <w:tcW w:w="721" w:type="dxa"/>
            <w:vAlign w:val="center"/>
          </w:tcPr>
          <w:p w14:paraId="56063D82">
            <w:pPr>
              <w:spacing w:line="360" w:lineRule="auto"/>
              <w:rPr>
                <w:rFonts w:ascii="仿宋" w:hAnsi="仿宋" w:eastAsia="仿宋" w:cs="仿宋"/>
                <w:b/>
                <w:color w:val="000000"/>
                <w:sz w:val="24"/>
                <w:szCs w:val="24"/>
              </w:rPr>
            </w:pPr>
          </w:p>
        </w:tc>
        <w:tc>
          <w:tcPr>
            <w:tcW w:w="712" w:type="dxa"/>
            <w:vAlign w:val="center"/>
          </w:tcPr>
          <w:p w14:paraId="6E1E7E50">
            <w:pPr>
              <w:spacing w:line="360" w:lineRule="auto"/>
              <w:rPr>
                <w:rFonts w:ascii="仿宋" w:hAnsi="仿宋" w:eastAsia="仿宋" w:cs="仿宋"/>
                <w:b/>
                <w:color w:val="000000"/>
                <w:sz w:val="24"/>
                <w:szCs w:val="24"/>
              </w:rPr>
            </w:pPr>
          </w:p>
        </w:tc>
        <w:tc>
          <w:tcPr>
            <w:tcW w:w="1015" w:type="dxa"/>
            <w:vAlign w:val="center"/>
          </w:tcPr>
          <w:p w14:paraId="13609A00">
            <w:pPr>
              <w:spacing w:line="360" w:lineRule="auto"/>
              <w:rPr>
                <w:rFonts w:ascii="仿宋" w:hAnsi="仿宋" w:eastAsia="仿宋" w:cs="仿宋"/>
                <w:b/>
                <w:color w:val="000000"/>
                <w:sz w:val="24"/>
                <w:szCs w:val="24"/>
              </w:rPr>
            </w:pPr>
          </w:p>
        </w:tc>
        <w:tc>
          <w:tcPr>
            <w:tcW w:w="1956" w:type="dxa"/>
            <w:tcBorders>
              <w:right w:val="single" w:color="000000" w:sz="4" w:space="0"/>
            </w:tcBorders>
            <w:vAlign w:val="center"/>
          </w:tcPr>
          <w:p w14:paraId="1BB9F614">
            <w:pPr>
              <w:spacing w:line="360" w:lineRule="auto"/>
              <w:rPr>
                <w:rFonts w:ascii="仿宋" w:hAnsi="仿宋" w:eastAsia="仿宋" w:cs="仿宋"/>
                <w:b/>
                <w:color w:val="000000"/>
                <w:sz w:val="24"/>
                <w:szCs w:val="24"/>
              </w:rPr>
            </w:pPr>
          </w:p>
        </w:tc>
        <w:tc>
          <w:tcPr>
            <w:tcW w:w="1573" w:type="dxa"/>
            <w:tcBorders>
              <w:left w:val="single" w:color="000000" w:sz="4" w:space="0"/>
              <w:right w:val="single" w:color="000000" w:sz="4" w:space="0"/>
            </w:tcBorders>
            <w:vAlign w:val="center"/>
          </w:tcPr>
          <w:p w14:paraId="71C1C995">
            <w:pPr>
              <w:spacing w:line="360" w:lineRule="auto"/>
              <w:rPr>
                <w:rFonts w:ascii="仿宋" w:hAnsi="仿宋" w:eastAsia="仿宋" w:cs="仿宋"/>
                <w:b/>
                <w:color w:val="000000"/>
                <w:sz w:val="24"/>
                <w:szCs w:val="24"/>
              </w:rPr>
            </w:pPr>
          </w:p>
        </w:tc>
        <w:tc>
          <w:tcPr>
            <w:tcW w:w="1702" w:type="dxa"/>
            <w:tcBorders>
              <w:left w:val="single" w:color="000000" w:sz="4" w:space="0"/>
            </w:tcBorders>
            <w:vAlign w:val="center"/>
          </w:tcPr>
          <w:p w14:paraId="7043C180">
            <w:pPr>
              <w:spacing w:line="360" w:lineRule="auto"/>
              <w:rPr>
                <w:rFonts w:ascii="仿宋" w:hAnsi="仿宋" w:eastAsia="仿宋" w:cs="仿宋"/>
                <w:b/>
                <w:color w:val="000000"/>
                <w:sz w:val="24"/>
                <w:szCs w:val="24"/>
              </w:rPr>
            </w:pPr>
          </w:p>
        </w:tc>
      </w:tr>
    </w:tbl>
    <w:p w14:paraId="431C23D2">
      <w:pPr>
        <w:rPr>
          <w:rFonts w:ascii="仿宋" w:hAnsi="仿宋" w:eastAsia="仿宋" w:cs="仿宋"/>
          <w:color w:val="000000"/>
        </w:rPr>
      </w:pPr>
    </w:p>
    <w:p w14:paraId="6B677B98">
      <w:pPr>
        <w:tabs>
          <w:tab w:val="left" w:pos="142"/>
        </w:tabs>
        <w:spacing w:line="360" w:lineRule="auto"/>
        <w:ind w:firstLine="480" w:firstLineChars="200"/>
        <w:jc w:val="left"/>
        <w:rPr>
          <w:rFonts w:ascii="仿宋" w:hAnsi="仿宋" w:eastAsia="仿宋" w:cs="仿宋"/>
          <w:color w:val="000000"/>
          <w:sz w:val="24"/>
          <w:szCs w:val="24"/>
        </w:rPr>
      </w:pPr>
    </w:p>
    <w:p w14:paraId="0344FE1D">
      <w:pPr>
        <w:tabs>
          <w:tab w:val="left" w:pos="142"/>
        </w:tabs>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供应商单位全称（公章):</w:t>
      </w:r>
    </w:p>
    <w:p w14:paraId="28AC5FD1">
      <w:pPr>
        <w:tabs>
          <w:tab w:val="left" w:pos="142"/>
        </w:tabs>
        <w:spacing w:line="360" w:lineRule="auto"/>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 xml:space="preserve">法定代表人（授权代表）签章：      </w:t>
      </w:r>
    </w:p>
    <w:p w14:paraId="53866A60">
      <w:pPr>
        <w:tabs>
          <w:tab w:val="left" w:pos="142"/>
        </w:tabs>
        <w:spacing w:line="360" w:lineRule="auto"/>
        <w:ind w:firstLine="480" w:firstLineChars="200"/>
        <w:jc w:val="left"/>
        <w:rPr>
          <w:rFonts w:ascii="仿宋" w:hAnsi="仿宋" w:eastAsia="仿宋" w:cs="仿宋"/>
          <w:b/>
          <w:bCs/>
          <w:color w:val="000000"/>
          <w:sz w:val="28"/>
          <w:szCs w:val="28"/>
        </w:rPr>
      </w:pPr>
      <w:r>
        <w:rPr>
          <w:rFonts w:hint="eastAsia" w:ascii="仿宋" w:hAnsi="仿宋" w:eastAsia="仿宋" w:cs="仿宋"/>
          <w:color w:val="000000"/>
          <w:sz w:val="24"/>
          <w:szCs w:val="24"/>
        </w:rPr>
        <w:t>日期：</w:t>
      </w:r>
      <w:r>
        <w:rPr>
          <w:rFonts w:hint="eastAsia" w:ascii="仿宋" w:hAnsi="仿宋" w:eastAsia="仿宋" w:cs="仿宋"/>
          <w:b/>
          <w:bCs/>
          <w:color w:val="000000"/>
          <w:sz w:val="28"/>
          <w:szCs w:val="28"/>
        </w:rPr>
        <w:br w:type="page"/>
      </w:r>
    </w:p>
    <w:p w14:paraId="2DB2F5A6">
      <w:pPr>
        <w:pStyle w:val="30"/>
        <w:pageBreakBefore/>
        <w:numPr>
          <w:ilvl w:val="0"/>
          <w:numId w:val="0"/>
        </w:numPr>
        <w:spacing w:line="360" w:lineRule="auto"/>
        <w:jc w:val="center"/>
        <w:outlineLvl w:val="0"/>
        <w:rPr>
          <w:rFonts w:ascii="仿宋" w:hAnsi="仿宋" w:eastAsia="仿宋" w:cs="仿宋"/>
          <w:color w:val="000000"/>
          <w:sz w:val="32"/>
          <w:szCs w:val="32"/>
        </w:rPr>
      </w:pPr>
      <w:bookmarkStart w:id="362" w:name="_Toc27795"/>
      <w:bookmarkStart w:id="363" w:name="_Toc25170491"/>
      <w:bookmarkStart w:id="364" w:name="_Toc11377"/>
      <w:bookmarkStart w:id="365" w:name="_Toc7717"/>
      <w:bookmarkStart w:id="366" w:name="_Toc3708"/>
      <w:bookmarkStart w:id="367" w:name="_Toc20316"/>
      <w:bookmarkStart w:id="368" w:name="_Toc4588"/>
      <w:bookmarkStart w:id="369" w:name="_Toc7002"/>
      <w:bookmarkStart w:id="370" w:name="_Toc14087"/>
      <w:bookmarkStart w:id="371" w:name="_Toc1700"/>
      <w:bookmarkStart w:id="372" w:name="_Toc25375"/>
      <w:bookmarkStart w:id="373" w:name="_Toc28791"/>
      <w:bookmarkStart w:id="374" w:name="_Toc24658"/>
      <w:bookmarkStart w:id="375" w:name="_Toc31735"/>
      <w:r>
        <w:rPr>
          <w:rFonts w:hint="eastAsia" w:ascii="仿宋" w:hAnsi="仿宋" w:eastAsia="仿宋" w:cs="仿宋"/>
          <w:color w:val="000000"/>
          <w:sz w:val="32"/>
          <w:szCs w:val="32"/>
        </w:rPr>
        <w:t>九、</w:t>
      </w:r>
      <w:bookmarkEnd w:id="291"/>
      <w:bookmarkEnd w:id="292"/>
      <w:bookmarkEnd w:id="362"/>
      <w:bookmarkEnd w:id="363"/>
      <w:bookmarkEnd w:id="364"/>
      <w:bookmarkStart w:id="376" w:name="_Toc12366"/>
      <w:bookmarkStart w:id="377" w:name="_Toc3621"/>
      <w:bookmarkStart w:id="378" w:name="_Toc818"/>
      <w:bookmarkStart w:id="379" w:name="_Toc5613"/>
      <w:r>
        <w:rPr>
          <w:rFonts w:hint="eastAsia" w:ascii="仿宋" w:hAnsi="仿宋" w:eastAsia="仿宋" w:cs="仿宋"/>
          <w:color w:val="000000"/>
          <w:sz w:val="32"/>
          <w:szCs w:val="32"/>
        </w:rPr>
        <w:t>相关附表格式</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14:paraId="799747F8">
      <w:pPr>
        <w:pStyle w:val="3"/>
        <w:numPr>
          <w:ilvl w:val="1"/>
          <w:numId w:val="0"/>
        </w:numPr>
        <w:spacing w:before="0" w:after="0" w:line="360" w:lineRule="auto"/>
        <w:rPr>
          <w:rFonts w:ascii="仿宋" w:hAnsi="仿宋" w:eastAsia="仿宋" w:cs="仿宋"/>
          <w:color w:val="000000"/>
          <w:sz w:val="28"/>
          <w:szCs w:val="28"/>
        </w:rPr>
      </w:pPr>
      <w:bookmarkStart w:id="380" w:name="_Toc30587"/>
      <w:bookmarkStart w:id="381" w:name="_Toc7059"/>
      <w:bookmarkStart w:id="382" w:name="_Toc5022"/>
      <w:bookmarkStart w:id="383" w:name="_Toc4712"/>
      <w:bookmarkStart w:id="384" w:name="_Toc17150"/>
      <w:r>
        <w:rPr>
          <w:rFonts w:hint="eastAsia" w:ascii="仿宋" w:hAnsi="仿宋" w:eastAsia="仿宋" w:cs="仿宋"/>
          <w:color w:val="000000"/>
          <w:sz w:val="28"/>
          <w:szCs w:val="28"/>
        </w:rPr>
        <w:t>附 件1: 法人授权委托书</w:t>
      </w:r>
      <w:bookmarkEnd w:id="380"/>
      <w:bookmarkEnd w:id="381"/>
      <w:bookmarkEnd w:id="382"/>
      <w:bookmarkEnd w:id="383"/>
      <w:bookmarkEnd w:id="384"/>
    </w:p>
    <w:p w14:paraId="155DB414">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南京达琛鑫工程咨询有限公司：</w:t>
      </w:r>
    </w:p>
    <w:p w14:paraId="2E565C20">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本授权书宣告：</w:t>
      </w:r>
    </w:p>
    <w:p w14:paraId="19BE0278">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委托单位：</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 地    址：</w:t>
      </w:r>
      <w:r>
        <w:rPr>
          <w:rFonts w:hint="eastAsia" w:ascii="仿宋" w:hAnsi="仿宋" w:eastAsia="仿宋" w:cs="仿宋"/>
          <w:color w:val="000000"/>
          <w:sz w:val="24"/>
          <w:szCs w:val="24"/>
          <w:u w:val="single"/>
        </w:rPr>
        <w:t xml:space="preserve">                       </w:t>
      </w:r>
    </w:p>
    <w:p w14:paraId="3900DD1C">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法定代表人：</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 受托人：</w:t>
      </w:r>
      <w:r>
        <w:rPr>
          <w:rFonts w:hint="eastAsia" w:ascii="仿宋" w:hAnsi="仿宋" w:eastAsia="仿宋" w:cs="仿宋"/>
          <w:color w:val="000000"/>
          <w:sz w:val="24"/>
          <w:szCs w:val="24"/>
          <w:u w:val="single"/>
        </w:rPr>
        <w:t xml:space="preserve">                         </w:t>
      </w:r>
    </w:p>
    <w:p w14:paraId="262C1BD7">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出生日期：</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年</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月</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日</w:t>
      </w:r>
    </w:p>
    <w:p w14:paraId="3D5D6B5E">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所在单位：</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   职务：</w:t>
      </w:r>
      <w:r>
        <w:rPr>
          <w:rFonts w:hint="eastAsia" w:ascii="仿宋" w:hAnsi="仿宋" w:eastAsia="仿宋" w:cs="仿宋"/>
          <w:color w:val="000000"/>
          <w:sz w:val="24"/>
          <w:szCs w:val="24"/>
          <w:u w:val="single"/>
        </w:rPr>
        <w:t xml:space="preserve">                         </w:t>
      </w:r>
    </w:p>
    <w:p w14:paraId="3F1AFE63">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身 份 证：</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   联系方式: </w:t>
      </w:r>
      <w:r>
        <w:rPr>
          <w:rFonts w:hint="eastAsia" w:ascii="仿宋" w:hAnsi="仿宋" w:eastAsia="仿宋" w:cs="仿宋"/>
          <w:color w:val="000000"/>
          <w:sz w:val="24"/>
          <w:szCs w:val="24"/>
          <w:u w:val="single"/>
        </w:rPr>
        <w:t xml:space="preserve">                     </w:t>
      </w:r>
    </w:p>
    <w:p w14:paraId="10C956E4">
      <w:pPr>
        <w:spacing w:line="360" w:lineRule="auto"/>
        <w:rPr>
          <w:rFonts w:ascii="仿宋" w:hAnsi="仿宋" w:eastAsia="仿宋" w:cs="仿宋"/>
          <w:color w:val="000000"/>
          <w:sz w:val="24"/>
          <w:szCs w:val="24"/>
        </w:rPr>
      </w:pPr>
    </w:p>
    <w:p w14:paraId="5273EE79">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兹委托受托人合法地代表我单位参加南京达琛鑫工程咨询有限公司组织的（采购编号为：NJDCX-202406120824）江苏省高级人民法院密评项目的采购活动，受托人有权在该磋商活动中，以我单位的名义签署磋商函和磋商文件，与采购代理机构协商、澄清、解释，质疑，签订合同书并执行一切与此有关的事项。</w:t>
      </w:r>
    </w:p>
    <w:p w14:paraId="05010408">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受托人在办理上述事宜过程中以其自己的名义所签署的所有文件我均予以承认。受托人无转委托权。</w:t>
      </w:r>
    </w:p>
    <w:p w14:paraId="4C23C7B9">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委托期限：至上述事宜处理完毕止。</w:t>
      </w:r>
    </w:p>
    <w:p w14:paraId="728175C3">
      <w:pPr>
        <w:spacing w:line="360" w:lineRule="auto"/>
        <w:jc w:val="left"/>
        <w:rPr>
          <w:rFonts w:ascii="仿宋" w:hAnsi="仿宋" w:eastAsia="仿宋" w:cs="仿宋"/>
          <w:color w:val="000000"/>
          <w:sz w:val="24"/>
          <w:szCs w:val="24"/>
        </w:rPr>
      </w:pPr>
    </w:p>
    <w:p w14:paraId="09DB925E">
      <w:pPr>
        <w:wordWrap w:val="0"/>
        <w:spacing w:line="360" w:lineRule="auto"/>
        <w:jc w:val="right"/>
        <w:rPr>
          <w:rFonts w:ascii="仿宋" w:hAnsi="仿宋" w:eastAsia="仿宋" w:cs="仿宋"/>
          <w:color w:val="000000"/>
          <w:sz w:val="24"/>
          <w:szCs w:val="24"/>
        </w:rPr>
      </w:pPr>
      <w:r>
        <w:rPr>
          <w:rFonts w:hint="eastAsia" w:ascii="仿宋" w:hAnsi="仿宋" w:eastAsia="仿宋" w:cs="仿宋"/>
          <w:color w:val="000000"/>
          <w:sz w:val="24"/>
          <w:szCs w:val="24"/>
        </w:rPr>
        <w:t xml:space="preserve">委托单位   （公章）：               </w:t>
      </w:r>
    </w:p>
    <w:p w14:paraId="48712406">
      <w:pPr>
        <w:wordWrap w:val="0"/>
        <w:spacing w:line="360" w:lineRule="auto"/>
        <w:ind w:left="4080" w:hanging="4080" w:hangingChars="1700"/>
        <w:jc w:val="right"/>
        <w:rPr>
          <w:rFonts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b/>
          <w:bCs/>
          <w:color w:val="000000"/>
          <w:sz w:val="24"/>
          <w:szCs w:val="24"/>
        </w:rPr>
        <w:t xml:space="preserve"> 法定代表人（签字或盖章）：      </w:t>
      </w:r>
      <w:r>
        <w:rPr>
          <w:rFonts w:hint="eastAsia" w:ascii="仿宋" w:hAnsi="仿宋" w:eastAsia="仿宋" w:cs="仿宋"/>
          <w:color w:val="000000"/>
          <w:sz w:val="24"/>
          <w:szCs w:val="24"/>
        </w:rPr>
        <w:t xml:space="preserve">    </w:t>
      </w:r>
    </w:p>
    <w:p w14:paraId="15E2F700">
      <w:pPr>
        <w:spacing w:line="360" w:lineRule="auto"/>
        <w:ind w:left="4080" w:hanging="4080" w:hangingChars="1700"/>
        <w:jc w:val="center"/>
        <w:rPr>
          <w:rFonts w:ascii="仿宋" w:hAnsi="仿宋" w:eastAsia="仿宋" w:cs="仿宋"/>
          <w:color w:val="000000"/>
          <w:sz w:val="28"/>
          <w:szCs w:val="28"/>
        </w:rPr>
      </w:pPr>
      <w:r>
        <w:rPr>
          <w:rFonts w:hint="eastAsia" w:ascii="仿宋" w:hAnsi="仿宋" w:eastAsia="仿宋" w:cs="仿宋"/>
          <w:color w:val="000000"/>
          <w:sz w:val="24"/>
          <w:szCs w:val="24"/>
        </w:rPr>
        <w:t xml:space="preserve">                          2024年  月  日</w:t>
      </w:r>
    </w:p>
    <w:p w14:paraId="43F8FE48">
      <w:pPr>
        <w:spacing w:line="0" w:lineRule="atLeast"/>
        <w:rPr>
          <w:rFonts w:ascii="仿宋" w:hAnsi="仿宋" w:eastAsia="仿宋" w:cs="仿宋"/>
          <w:color w:val="000000"/>
          <w:sz w:val="24"/>
          <w:szCs w:val="24"/>
        </w:rPr>
      </w:pPr>
    </w:p>
    <w:p w14:paraId="0A179060">
      <w:pPr>
        <w:spacing w:line="0" w:lineRule="atLeast"/>
        <w:rPr>
          <w:rFonts w:ascii="仿宋" w:hAnsi="仿宋" w:eastAsia="仿宋" w:cs="仿宋"/>
          <w:color w:val="000000"/>
          <w:sz w:val="24"/>
          <w:szCs w:val="24"/>
        </w:rPr>
      </w:pPr>
      <w:r>
        <w:rPr>
          <w:rFonts w:hint="eastAsia" w:ascii="仿宋" w:hAnsi="仿宋" w:eastAsia="仿宋" w:cs="仿宋"/>
          <w:color w:val="000000"/>
          <w:sz w:val="24"/>
          <w:szCs w:val="24"/>
        </w:rPr>
        <w:t>备注：</w:t>
      </w:r>
    </w:p>
    <w:p w14:paraId="63B0B0E5">
      <w:pPr>
        <w:spacing w:line="0" w:lineRule="atLeast"/>
        <w:rPr>
          <w:rFonts w:ascii="仿宋" w:hAnsi="仿宋" w:eastAsia="仿宋" w:cs="仿宋"/>
          <w:color w:val="000000"/>
          <w:sz w:val="24"/>
          <w:szCs w:val="24"/>
        </w:rPr>
      </w:pPr>
      <w:r>
        <w:rPr>
          <w:rFonts w:hint="eastAsia" w:ascii="仿宋" w:hAnsi="仿宋" w:eastAsia="仿宋" w:cs="仿宋"/>
          <w:color w:val="000000"/>
          <w:sz w:val="24"/>
          <w:szCs w:val="24"/>
        </w:rPr>
        <w:t>①供应商授权代表须在磋商截止时间前持授权书原件及授权代表身份证件办理签名报到。（磋商文件中须附授权代表及法人的身份证复印件）</w:t>
      </w:r>
    </w:p>
    <w:p w14:paraId="6B194917">
      <w:pPr>
        <w:spacing w:line="0" w:lineRule="atLeast"/>
        <w:rPr>
          <w:rFonts w:ascii="仿宋" w:hAnsi="仿宋" w:eastAsia="仿宋" w:cs="仿宋"/>
          <w:color w:val="000000"/>
          <w:sz w:val="24"/>
          <w:szCs w:val="24"/>
        </w:rPr>
      </w:pPr>
      <w:r>
        <w:rPr>
          <w:rFonts w:hint="eastAsia" w:ascii="仿宋" w:hAnsi="仿宋" w:eastAsia="仿宋" w:cs="仿宋"/>
          <w:color w:val="000000"/>
          <w:sz w:val="24"/>
          <w:szCs w:val="24"/>
        </w:rPr>
        <w:t>②非授权代表办理上述事宜，采购人及代理机构将拒绝。</w:t>
      </w:r>
    </w:p>
    <w:p w14:paraId="69E6D1F2">
      <w:pPr>
        <w:spacing w:line="0" w:lineRule="atLeast"/>
        <w:rPr>
          <w:rFonts w:ascii="仿宋" w:hAnsi="仿宋" w:eastAsia="仿宋" w:cs="仿宋"/>
          <w:color w:val="000000"/>
          <w:sz w:val="24"/>
          <w:szCs w:val="24"/>
        </w:rPr>
      </w:pPr>
      <w:r>
        <w:rPr>
          <w:rFonts w:hint="eastAsia" w:ascii="仿宋" w:hAnsi="仿宋" w:eastAsia="仿宋" w:cs="仿宋"/>
          <w:color w:val="000000"/>
          <w:sz w:val="24"/>
          <w:szCs w:val="24"/>
        </w:rPr>
        <w:t>③供应商法定代表人直接参加磋商的，无须提供法人授权委托书，但须持本人身份证件及营业执照复印件办理相关手续。</w:t>
      </w:r>
    </w:p>
    <w:p w14:paraId="30E6EAB6">
      <w:pPr>
        <w:spacing w:line="360" w:lineRule="auto"/>
        <w:rPr>
          <w:rFonts w:ascii="仿宋" w:hAnsi="仿宋" w:eastAsia="仿宋" w:cs="仿宋"/>
          <w:b/>
          <w:bCs/>
          <w:color w:val="000000"/>
          <w:sz w:val="28"/>
          <w:szCs w:val="28"/>
        </w:rPr>
      </w:pPr>
      <w:bookmarkStart w:id="385" w:name="_Toc30644"/>
      <w:r>
        <w:rPr>
          <w:rFonts w:hint="eastAsia" w:ascii="仿宋" w:hAnsi="仿宋" w:eastAsia="仿宋" w:cs="仿宋"/>
          <w:b/>
          <w:bCs/>
          <w:color w:val="000000"/>
          <w:sz w:val="28"/>
          <w:szCs w:val="28"/>
        </w:rPr>
        <w:br w:type="page"/>
      </w:r>
    </w:p>
    <w:bookmarkEnd w:id="385"/>
    <w:p w14:paraId="5EF99244">
      <w:pPr>
        <w:pStyle w:val="3"/>
        <w:pageBreakBefore/>
        <w:numPr>
          <w:ilvl w:val="1"/>
          <w:numId w:val="0"/>
        </w:numPr>
        <w:spacing w:before="0" w:after="0" w:line="360" w:lineRule="auto"/>
        <w:rPr>
          <w:rFonts w:ascii="仿宋" w:hAnsi="仿宋" w:eastAsia="仿宋" w:cs="仿宋"/>
          <w:color w:val="000000"/>
          <w:sz w:val="28"/>
          <w:szCs w:val="28"/>
        </w:rPr>
      </w:pPr>
      <w:bookmarkStart w:id="386" w:name="_Toc9521"/>
      <w:bookmarkStart w:id="387" w:name="_Toc13645"/>
      <w:bookmarkStart w:id="388" w:name="_Toc22295"/>
      <w:bookmarkStart w:id="389" w:name="_Toc10124"/>
      <w:bookmarkStart w:id="390" w:name="_Toc25170492"/>
      <w:bookmarkStart w:id="391" w:name="_Toc15181"/>
      <w:bookmarkStart w:id="392" w:name="_Toc28253"/>
      <w:bookmarkStart w:id="393" w:name="_Toc11246"/>
      <w:bookmarkStart w:id="394" w:name="_Toc9284"/>
      <w:bookmarkStart w:id="395" w:name="_Toc9701"/>
      <w:r>
        <w:rPr>
          <w:rFonts w:hint="eastAsia" w:ascii="仿宋" w:hAnsi="仿宋" w:eastAsia="仿宋" w:cs="仿宋"/>
          <w:color w:val="000000"/>
          <w:sz w:val="28"/>
          <w:szCs w:val="28"/>
        </w:rPr>
        <w:t>附 件2: 具备履行合同所必需的设备和专业技术能力的书面声明</w:t>
      </w:r>
      <w:bookmarkEnd w:id="386"/>
      <w:bookmarkEnd w:id="387"/>
      <w:bookmarkEnd w:id="388"/>
      <w:bookmarkEnd w:id="389"/>
      <w:bookmarkEnd w:id="390"/>
      <w:bookmarkEnd w:id="391"/>
      <w:bookmarkEnd w:id="392"/>
      <w:bookmarkEnd w:id="393"/>
      <w:bookmarkEnd w:id="394"/>
    </w:p>
    <w:bookmarkEnd w:id="395"/>
    <w:p w14:paraId="79A80968">
      <w:pPr>
        <w:spacing w:line="360" w:lineRule="auto"/>
        <w:rPr>
          <w:rFonts w:ascii="仿宋" w:hAnsi="仿宋" w:eastAsia="仿宋" w:cs="仿宋"/>
          <w:color w:val="000000"/>
          <w:sz w:val="24"/>
          <w:szCs w:val="24"/>
        </w:rPr>
      </w:pPr>
    </w:p>
    <w:p w14:paraId="31D6DF7C">
      <w:pPr>
        <w:spacing w:line="360" w:lineRule="auto"/>
        <w:ind w:firstLine="492"/>
        <w:rPr>
          <w:rFonts w:ascii="仿宋" w:hAnsi="仿宋" w:eastAsia="仿宋" w:cs="仿宋"/>
          <w:color w:val="000000"/>
          <w:sz w:val="24"/>
          <w:szCs w:val="24"/>
        </w:rPr>
      </w:pPr>
      <w:r>
        <w:rPr>
          <w:rFonts w:hint="eastAsia" w:ascii="仿宋" w:hAnsi="仿宋" w:eastAsia="仿宋" w:cs="仿宋"/>
          <w:color w:val="000000"/>
          <w:sz w:val="24"/>
          <w:szCs w:val="24"/>
        </w:rPr>
        <w:t>我公司郑重声明：我公司具备履行本项采购合同所必需的设备和专业技术能力，为履行本项采购合同我公司具备如下主要设备和主要专业技术能力：</w:t>
      </w:r>
    </w:p>
    <w:p w14:paraId="3470FE8C">
      <w:pPr>
        <w:spacing w:line="360" w:lineRule="auto"/>
        <w:ind w:firstLine="492"/>
        <w:rPr>
          <w:rFonts w:ascii="仿宋" w:hAnsi="仿宋" w:eastAsia="仿宋" w:cs="仿宋"/>
          <w:color w:val="000000"/>
          <w:sz w:val="24"/>
          <w:szCs w:val="24"/>
        </w:rPr>
      </w:pPr>
      <w:r>
        <w:rPr>
          <w:rFonts w:hint="eastAsia" w:ascii="仿宋" w:hAnsi="仿宋" w:eastAsia="仿宋" w:cs="仿宋"/>
          <w:color w:val="000000"/>
          <w:sz w:val="24"/>
          <w:szCs w:val="24"/>
        </w:rPr>
        <w:t>主要设备有：  。</w:t>
      </w:r>
    </w:p>
    <w:p w14:paraId="0220828F">
      <w:pPr>
        <w:spacing w:line="360" w:lineRule="auto"/>
        <w:ind w:firstLine="492"/>
        <w:rPr>
          <w:rFonts w:ascii="仿宋" w:hAnsi="仿宋" w:eastAsia="仿宋" w:cs="仿宋"/>
          <w:color w:val="000000"/>
          <w:sz w:val="24"/>
          <w:szCs w:val="24"/>
        </w:rPr>
      </w:pPr>
      <w:r>
        <w:rPr>
          <w:rFonts w:hint="eastAsia" w:ascii="仿宋" w:hAnsi="仿宋" w:eastAsia="仿宋" w:cs="仿宋"/>
          <w:color w:val="000000"/>
          <w:sz w:val="24"/>
          <w:szCs w:val="24"/>
        </w:rPr>
        <w:t>主要专业技术能力有：   。</w:t>
      </w:r>
    </w:p>
    <w:p w14:paraId="2D5E329E">
      <w:pPr>
        <w:spacing w:line="360" w:lineRule="auto"/>
        <w:rPr>
          <w:rFonts w:ascii="仿宋" w:hAnsi="仿宋" w:eastAsia="仿宋" w:cs="仿宋"/>
          <w:color w:val="000000"/>
          <w:sz w:val="24"/>
          <w:szCs w:val="24"/>
        </w:rPr>
      </w:pPr>
    </w:p>
    <w:p w14:paraId="075A474E">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供应商全称（公章）：</w:t>
      </w:r>
    </w:p>
    <w:p w14:paraId="10D8D911">
      <w:pPr>
        <w:spacing w:line="360" w:lineRule="auto"/>
        <w:ind w:firstLine="4560" w:firstLineChars="1900"/>
        <w:rPr>
          <w:rFonts w:ascii="仿宋" w:hAnsi="仿宋" w:eastAsia="仿宋" w:cs="仿宋"/>
          <w:color w:val="000000"/>
          <w:sz w:val="24"/>
          <w:szCs w:val="24"/>
        </w:rPr>
      </w:pPr>
      <w:r>
        <w:rPr>
          <w:rFonts w:hint="eastAsia" w:ascii="仿宋" w:hAnsi="仿宋" w:eastAsia="仿宋" w:cs="仿宋"/>
          <w:color w:val="000000"/>
          <w:sz w:val="24"/>
          <w:szCs w:val="24"/>
        </w:rPr>
        <w:t>法定代表人或授权代表签字：</w:t>
      </w:r>
    </w:p>
    <w:p w14:paraId="583498BB">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日期： 年 月 日</w:t>
      </w:r>
    </w:p>
    <w:p w14:paraId="0707B7A2">
      <w:pPr>
        <w:pStyle w:val="33"/>
        <w:spacing w:line="360" w:lineRule="auto"/>
        <w:ind w:firstLine="482"/>
        <w:rPr>
          <w:rFonts w:ascii="仿宋" w:hAnsi="仿宋" w:eastAsia="仿宋" w:cs="仿宋"/>
          <w:color w:val="000000"/>
        </w:rPr>
      </w:pPr>
      <w:r>
        <w:rPr>
          <w:rFonts w:hint="eastAsia" w:ascii="仿宋" w:hAnsi="仿宋" w:eastAsia="仿宋" w:cs="仿宋"/>
          <w:color w:val="000000"/>
        </w:rPr>
        <w:br w:type="page"/>
      </w:r>
    </w:p>
    <w:p w14:paraId="7CFAE281">
      <w:pPr>
        <w:pStyle w:val="3"/>
        <w:pageBreakBefore/>
        <w:numPr>
          <w:ilvl w:val="1"/>
          <w:numId w:val="0"/>
        </w:numPr>
        <w:spacing w:before="0" w:after="0" w:line="360" w:lineRule="auto"/>
        <w:rPr>
          <w:rFonts w:ascii="仿宋" w:hAnsi="仿宋" w:eastAsia="仿宋" w:cs="仿宋"/>
          <w:color w:val="000000"/>
          <w:sz w:val="28"/>
          <w:szCs w:val="28"/>
        </w:rPr>
      </w:pPr>
      <w:bookmarkStart w:id="396" w:name="_Toc18188"/>
      <w:bookmarkStart w:id="397" w:name="_Toc190"/>
      <w:bookmarkStart w:id="398" w:name="_Toc15808"/>
      <w:bookmarkStart w:id="399" w:name="_Toc8367"/>
      <w:bookmarkStart w:id="400" w:name="_Toc25170493"/>
      <w:bookmarkStart w:id="401" w:name="_Toc27202"/>
      <w:bookmarkStart w:id="402" w:name="_Toc30482"/>
      <w:bookmarkStart w:id="403" w:name="_Toc22207"/>
      <w:bookmarkStart w:id="404" w:name="_Toc3522"/>
      <w:bookmarkStart w:id="405" w:name="_Toc10944"/>
      <w:bookmarkStart w:id="406" w:name="_Toc26453"/>
      <w:bookmarkStart w:id="407" w:name="_Toc8679"/>
      <w:r>
        <w:rPr>
          <w:rFonts w:hint="eastAsia" w:ascii="仿宋" w:hAnsi="仿宋" w:eastAsia="仿宋" w:cs="仿宋"/>
          <w:color w:val="000000"/>
          <w:sz w:val="28"/>
          <w:szCs w:val="28"/>
        </w:rPr>
        <w:t>附 件</w:t>
      </w:r>
      <w:bookmarkEnd w:id="396"/>
      <w:bookmarkEnd w:id="397"/>
      <w:r>
        <w:rPr>
          <w:rFonts w:hint="eastAsia" w:ascii="仿宋" w:hAnsi="仿宋" w:eastAsia="仿宋" w:cs="仿宋"/>
          <w:color w:val="000000"/>
          <w:sz w:val="28"/>
          <w:szCs w:val="28"/>
        </w:rPr>
        <w:t>3：三年内无重大违纪声明</w:t>
      </w:r>
      <w:bookmarkEnd w:id="398"/>
      <w:bookmarkEnd w:id="399"/>
      <w:bookmarkEnd w:id="400"/>
      <w:bookmarkEnd w:id="401"/>
      <w:bookmarkEnd w:id="402"/>
      <w:bookmarkEnd w:id="403"/>
      <w:bookmarkEnd w:id="404"/>
      <w:bookmarkEnd w:id="405"/>
      <w:bookmarkEnd w:id="406"/>
      <w:bookmarkEnd w:id="407"/>
    </w:p>
    <w:p w14:paraId="3C59E4EE">
      <w:pPr>
        <w:spacing w:line="360" w:lineRule="auto"/>
        <w:jc w:val="center"/>
        <w:rPr>
          <w:rFonts w:ascii="仿宋" w:hAnsi="仿宋" w:eastAsia="仿宋" w:cs="仿宋"/>
          <w:b/>
          <w:bCs/>
          <w:color w:val="000000"/>
          <w:sz w:val="36"/>
          <w:szCs w:val="36"/>
        </w:rPr>
      </w:pPr>
    </w:p>
    <w:p w14:paraId="3766ADBF">
      <w:pPr>
        <w:spacing w:line="360" w:lineRule="auto"/>
        <w:jc w:val="center"/>
        <w:rPr>
          <w:rFonts w:ascii="仿宋" w:hAnsi="仿宋" w:eastAsia="仿宋" w:cs="仿宋"/>
          <w:color w:val="000000"/>
          <w:sz w:val="36"/>
          <w:szCs w:val="36"/>
        </w:rPr>
      </w:pPr>
      <w:r>
        <w:rPr>
          <w:rFonts w:hint="eastAsia" w:ascii="仿宋" w:hAnsi="仿宋" w:eastAsia="仿宋" w:cs="仿宋"/>
          <w:b/>
          <w:bCs/>
          <w:color w:val="000000"/>
          <w:sz w:val="36"/>
          <w:szCs w:val="36"/>
        </w:rPr>
        <w:t>声  明</w:t>
      </w:r>
    </w:p>
    <w:p w14:paraId="4A8FD446">
      <w:pPr>
        <w:spacing w:line="360" w:lineRule="auto"/>
        <w:ind w:firstLine="480" w:firstLineChars="200"/>
        <w:rPr>
          <w:rFonts w:ascii="仿宋" w:hAnsi="仿宋" w:eastAsia="仿宋" w:cs="仿宋"/>
          <w:color w:val="000000"/>
          <w:sz w:val="24"/>
          <w:szCs w:val="24"/>
        </w:rPr>
      </w:pPr>
    </w:p>
    <w:p w14:paraId="0442E5A2">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磋商采购，并承担因此引起的一切后果。</w:t>
      </w:r>
    </w:p>
    <w:p w14:paraId="1B5F0A0E">
      <w:pPr>
        <w:spacing w:line="360" w:lineRule="auto"/>
        <w:rPr>
          <w:rFonts w:ascii="仿宋" w:hAnsi="仿宋" w:eastAsia="仿宋" w:cs="仿宋"/>
          <w:color w:val="000000"/>
          <w:sz w:val="24"/>
          <w:szCs w:val="24"/>
        </w:rPr>
      </w:pPr>
    </w:p>
    <w:p w14:paraId="03A617D2">
      <w:pPr>
        <w:spacing w:line="360" w:lineRule="auto"/>
        <w:rPr>
          <w:rFonts w:ascii="仿宋" w:hAnsi="仿宋" w:eastAsia="仿宋" w:cs="仿宋"/>
          <w:color w:val="000000"/>
          <w:sz w:val="24"/>
          <w:szCs w:val="24"/>
        </w:rPr>
      </w:pPr>
    </w:p>
    <w:p w14:paraId="7A46FE8A">
      <w:pPr>
        <w:spacing w:line="360" w:lineRule="auto"/>
        <w:rPr>
          <w:rFonts w:ascii="仿宋" w:hAnsi="仿宋" w:eastAsia="仿宋" w:cs="仿宋"/>
          <w:color w:val="000000"/>
          <w:sz w:val="24"/>
          <w:szCs w:val="24"/>
        </w:rPr>
      </w:pPr>
    </w:p>
    <w:p w14:paraId="51F47538">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供应商全称（公章）：                               </w:t>
      </w:r>
    </w:p>
    <w:p w14:paraId="09CCBDE5">
      <w:pPr>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日期：</w:t>
      </w:r>
    </w:p>
    <w:p w14:paraId="0B76D4F9">
      <w:pPr>
        <w:spacing w:line="360" w:lineRule="auto"/>
        <w:rPr>
          <w:rFonts w:ascii="仿宋" w:hAnsi="仿宋" w:eastAsia="仿宋" w:cs="仿宋"/>
          <w:color w:val="000000"/>
          <w:sz w:val="24"/>
          <w:szCs w:val="24"/>
        </w:rPr>
      </w:pPr>
    </w:p>
    <w:p w14:paraId="5A057FF6">
      <w:pPr>
        <w:spacing w:line="360" w:lineRule="auto"/>
        <w:jc w:val="center"/>
        <w:rPr>
          <w:rFonts w:ascii="仿宋" w:hAnsi="仿宋" w:eastAsia="仿宋" w:cs="仿宋"/>
          <w:b/>
          <w:bCs/>
          <w:color w:val="000000"/>
          <w:sz w:val="24"/>
          <w:szCs w:val="24"/>
        </w:rPr>
      </w:pPr>
      <w:r>
        <w:rPr>
          <w:rFonts w:hint="eastAsia" w:ascii="仿宋" w:hAnsi="仿宋" w:eastAsia="仿宋" w:cs="仿宋"/>
          <w:b/>
          <w:bCs/>
          <w:color w:val="000000"/>
          <w:sz w:val="24"/>
          <w:szCs w:val="24"/>
        </w:rPr>
        <w:br w:type="page"/>
      </w:r>
    </w:p>
    <w:p w14:paraId="597BD70E">
      <w:pPr>
        <w:pStyle w:val="3"/>
        <w:pageBreakBefore/>
        <w:numPr>
          <w:ilvl w:val="1"/>
          <w:numId w:val="0"/>
        </w:numPr>
        <w:spacing w:before="0" w:after="0" w:line="360" w:lineRule="auto"/>
        <w:rPr>
          <w:rFonts w:ascii="仿宋" w:hAnsi="仿宋" w:eastAsia="仿宋" w:cs="仿宋"/>
          <w:color w:val="000000"/>
        </w:rPr>
      </w:pPr>
      <w:bookmarkStart w:id="408" w:name="_Toc11098"/>
      <w:bookmarkStart w:id="409" w:name="_Toc4338"/>
      <w:bookmarkStart w:id="410" w:name="_Toc2697"/>
      <w:bookmarkStart w:id="411" w:name="_Toc26218"/>
      <w:bookmarkStart w:id="412" w:name="_Toc16486"/>
      <w:bookmarkStart w:id="413" w:name="_Toc28142"/>
      <w:bookmarkStart w:id="414" w:name="_Toc8074"/>
      <w:bookmarkStart w:id="415" w:name="_Toc14712"/>
      <w:bookmarkStart w:id="416" w:name="_Toc25170494"/>
      <w:bookmarkStart w:id="417" w:name="_Toc4301"/>
      <w:r>
        <w:rPr>
          <w:rFonts w:hint="eastAsia" w:ascii="仿宋" w:hAnsi="仿宋" w:eastAsia="仿宋" w:cs="仿宋"/>
          <w:color w:val="000000"/>
          <w:sz w:val="28"/>
          <w:szCs w:val="28"/>
        </w:rPr>
        <w:t>附 件4：中小企业声明函格式</w:t>
      </w:r>
      <w:bookmarkEnd w:id="408"/>
      <w:bookmarkEnd w:id="409"/>
      <w:bookmarkEnd w:id="410"/>
      <w:bookmarkEnd w:id="411"/>
      <w:bookmarkEnd w:id="412"/>
      <w:bookmarkEnd w:id="413"/>
      <w:bookmarkEnd w:id="414"/>
      <w:bookmarkEnd w:id="415"/>
      <w:bookmarkEnd w:id="416"/>
      <w:r>
        <w:rPr>
          <w:rFonts w:hint="eastAsia" w:ascii="仿宋" w:hAnsi="仿宋" w:eastAsia="仿宋" w:cs="仿宋"/>
          <w:color w:val="000000"/>
          <w:sz w:val="28"/>
          <w:szCs w:val="28"/>
        </w:rPr>
        <w:t>（如有）</w:t>
      </w:r>
    </w:p>
    <w:p w14:paraId="7A7FB53E">
      <w:pPr>
        <w:spacing w:line="360" w:lineRule="auto"/>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中小企业声明函（工程、服务）</w:t>
      </w:r>
    </w:p>
    <w:p w14:paraId="0992D71A">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本公司（联合体）郑重声明，根据《政府采购促进中小企业发展管理办法》（财库〔2020）46 号）的规定，本公司（联合体）参加（单位名称）的（项目名称）采购活动，服务全部由符合政策要求的中小企业承接（或者∶工程的施工单位全部为符合政策要求的中小企业 ）。相关企业（含联合体中的中小企业、签订分包意向协议的中小企业）的具体情况如下∶</w:t>
      </w:r>
    </w:p>
    <w:p w14:paraId="706B2295">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1.（标的名称），属于（采购文件中明确的所属行业）;承建(承接)为（企业名称），从业人员___人，营业收入为____万元，资产总额为___万元，属于（中型企业、小型企业、微型企业）;</w:t>
      </w:r>
    </w:p>
    <w:p w14:paraId="5382D758">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2.（标的名称），属于（采购文件中明确的所属行业）;承建(承接)为（企业名称），从业人员____人，营业收入为___万元，资产总额为___万元，属于（中型企业、小型企业、微型企业）;</w:t>
      </w:r>
    </w:p>
    <w:p w14:paraId="5F7EC9DC">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w:t>
      </w:r>
    </w:p>
    <w:p w14:paraId="0681E2C7">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以上企业，不属于大企业的分支机构，不存在控股股东为大企业的情形，也不存在与大企业的负责人为同一人的情形。</w:t>
      </w:r>
    </w:p>
    <w:p w14:paraId="0819E88D">
      <w:pPr>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本企业对上述声明内容的真实性负责。如有虚假，将依法承担相应责任。</w:t>
      </w:r>
    </w:p>
    <w:p w14:paraId="57F3F71C">
      <w:pPr>
        <w:spacing w:line="360" w:lineRule="auto"/>
        <w:ind w:firstLine="240" w:firstLineChars="100"/>
        <w:rPr>
          <w:rFonts w:ascii="仿宋" w:hAnsi="仿宋" w:eastAsia="仿宋" w:cs="仿宋"/>
          <w:color w:val="000000"/>
          <w:sz w:val="24"/>
          <w:szCs w:val="24"/>
        </w:rPr>
      </w:pPr>
    </w:p>
    <w:p w14:paraId="5393D33A">
      <w:pPr>
        <w:spacing w:line="360" w:lineRule="auto"/>
        <w:ind w:firstLine="6480" w:firstLineChars="2700"/>
        <w:rPr>
          <w:rFonts w:ascii="仿宋" w:hAnsi="仿宋" w:eastAsia="仿宋" w:cs="仿宋"/>
          <w:color w:val="000000"/>
          <w:sz w:val="24"/>
          <w:szCs w:val="24"/>
        </w:rPr>
      </w:pPr>
      <w:r>
        <w:rPr>
          <w:rFonts w:hint="eastAsia" w:ascii="仿宋" w:hAnsi="仿宋" w:eastAsia="仿宋" w:cs="仿宋"/>
          <w:color w:val="000000"/>
          <w:sz w:val="24"/>
          <w:szCs w:val="24"/>
        </w:rPr>
        <w:t>供应商全称（公章）：</w:t>
      </w:r>
    </w:p>
    <w:p w14:paraId="0AB94A2E">
      <w:pPr>
        <w:spacing w:line="360" w:lineRule="auto"/>
        <w:ind w:firstLine="6480" w:firstLineChars="2700"/>
        <w:rPr>
          <w:rFonts w:ascii="仿宋" w:hAnsi="仿宋" w:eastAsia="仿宋" w:cs="仿宋"/>
          <w:color w:val="000000"/>
          <w:sz w:val="24"/>
          <w:szCs w:val="24"/>
        </w:rPr>
      </w:pPr>
      <w:r>
        <w:rPr>
          <w:rFonts w:hint="eastAsia" w:ascii="仿宋" w:hAnsi="仿宋" w:eastAsia="仿宋" w:cs="仿宋"/>
          <w:color w:val="000000"/>
          <w:sz w:val="24"/>
          <w:szCs w:val="24"/>
        </w:rPr>
        <w:t>日期：</w:t>
      </w:r>
    </w:p>
    <w:p w14:paraId="1BECBDFF">
      <w:pPr>
        <w:spacing w:line="360" w:lineRule="auto"/>
        <w:ind w:firstLine="240" w:firstLineChars="100"/>
        <w:rPr>
          <w:rFonts w:ascii="仿宋" w:hAnsi="仿宋" w:eastAsia="仿宋" w:cs="仿宋"/>
          <w:color w:val="000000"/>
          <w:sz w:val="24"/>
          <w:szCs w:val="24"/>
        </w:rPr>
      </w:pPr>
    </w:p>
    <w:p w14:paraId="6AA76FB2">
      <w:pPr>
        <w:spacing w:line="360" w:lineRule="auto"/>
        <w:ind w:firstLine="240" w:firstLineChars="100"/>
        <w:rPr>
          <w:rFonts w:ascii="仿宋" w:hAnsi="仿宋" w:eastAsia="仿宋" w:cs="仿宋"/>
          <w:color w:val="000000"/>
          <w:sz w:val="24"/>
          <w:szCs w:val="24"/>
        </w:rPr>
      </w:pPr>
      <w:r>
        <w:rPr>
          <w:rFonts w:hint="eastAsia" w:ascii="仿宋" w:hAnsi="仿宋" w:eastAsia="仿宋" w:cs="仿宋"/>
          <w:color w:val="000000"/>
          <w:sz w:val="24"/>
          <w:szCs w:val="24"/>
        </w:rPr>
        <w:t>说明：</w:t>
      </w:r>
    </w:p>
    <w:p w14:paraId="46CCEA3A">
      <w:pPr>
        <w:spacing w:line="0" w:lineRule="atLeast"/>
        <w:ind w:firstLine="240" w:firstLineChars="100"/>
        <w:rPr>
          <w:rFonts w:ascii="仿宋" w:hAnsi="仿宋" w:eastAsia="仿宋" w:cs="仿宋"/>
          <w:color w:val="000000"/>
          <w:sz w:val="24"/>
          <w:szCs w:val="24"/>
        </w:rPr>
      </w:pPr>
      <w:r>
        <w:rPr>
          <w:rFonts w:hint="eastAsia" w:ascii="仿宋" w:hAnsi="仿宋" w:eastAsia="仿宋" w:cs="仿宋"/>
          <w:color w:val="000000"/>
          <w:sz w:val="24"/>
          <w:szCs w:val="24"/>
        </w:rPr>
        <w:t>1、“微型”或“小型”企业的划分具体以《政府采购促进中小企业发展管理办法》（财库[2020]46号）和《工业和信息化部、国家统计局、国家发展和改革委员会、财政部关于印发中小企业划型标准规定的通知》（工信部联企业[2011]300号）的规定为准。</w:t>
      </w:r>
    </w:p>
    <w:p w14:paraId="5D30C3E6">
      <w:pPr>
        <w:spacing w:line="0" w:lineRule="atLeast"/>
        <w:ind w:firstLine="240" w:firstLineChars="100"/>
        <w:rPr>
          <w:rFonts w:ascii="仿宋" w:hAnsi="仿宋" w:eastAsia="仿宋" w:cs="仿宋"/>
          <w:color w:val="000000"/>
          <w:sz w:val="24"/>
          <w:szCs w:val="24"/>
        </w:rPr>
      </w:pPr>
      <w:r>
        <w:rPr>
          <w:rFonts w:hint="eastAsia" w:ascii="仿宋" w:hAnsi="仿宋" w:eastAsia="仿宋" w:cs="仿宋"/>
          <w:color w:val="000000"/>
          <w:sz w:val="24"/>
          <w:szCs w:val="24"/>
        </w:rPr>
        <w:t>2、供应商如不提供此声明函，将不享受相关优惠政策。</w:t>
      </w:r>
    </w:p>
    <w:p w14:paraId="17C890D8">
      <w:pPr>
        <w:spacing w:line="0" w:lineRule="atLeast"/>
        <w:ind w:firstLine="240" w:firstLineChars="100"/>
        <w:rPr>
          <w:rFonts w:ascii="仿宋" w:hAnsi="仿宋" w:eastAsia="仿宋" w:cs="仿宋"/>
          <w:color w:val="000000"/>
          <w:sz w:val="24"/>
          <w:szCs w:val="24"/>
        </w:rPr>
      </w:pPr>
      <w:r>
        <w:rPr>
          <w:rFonts w:hint="eastAsia" w:ascii="仿宋" w:hAnsi="仿宋" w:eastAsia="仿宋" w:cs="仿宋"/>
          <w:color w:val="000000"/>
          <w:sz w:val="24"/>
          <w:szCs w:val="24"/>
        </w:rPr>
        <w:t>3、成交供应商为小微企业的，此声明函将随成交结果同时公示，接受社会监督。</w:t>
      </w:r>
    </w:p>
    <w:p w14:paraId="247918AB"/>
    <w:p w14:paraId="1637B013">
      <w:pPr>
        <w:spacing w:line="360" w:lineRule="auto"/>
        <w:ind w:firstLine="240" w:firstLineChars="100"/>
        <w:rPr>
          <w:rFonts w:ascii="仿宋" w:hAnsi="仿宋" w:eastAsia="仿宋" w:cs="仿宋"/>
          <w:color w:val="000000"/>
          <w:sz w:val="24"/>
          <w:szCs w:val="24"/>
        </w:rPr>
      </w:pPr>
    </w:p>
    <w:p w14:paraId="4E8F89E3">
      <w:pPr>
        <w:spacing w:line="360" w:lineRule="auto"/>
        <w:rPr>
          <w:rFonts w:ascii="仿宋" w:hAnsi="仿宋" w:eastAsia="仿宋" w:cs="仿宋"/>
          <w:color w:val="000000"/>
          <w:sz w:val="24"/>
          <w:szCs w:val="24"/>
        </w:rPr>
      </w:pPr>
    </w:p>
    <w:p w14:paraId="3D4C107A">
      <w:pPr>
        <w:pStyle w:val="3"/>
        <w:pageBreakBefore/>
        <w:numPr>
          <w:ilvl w:val="1"/>
          <w:numId w:val="0"/>
        </w:numPr>
        <w:spacing w:before="0" w:after="0" w:line="360" w:lineRule="auto"/>
        <w:rPr>
          <w:rFonts w:ascii="仿宋" w:hAnsi="仿宋" w:eastAsia="仿宋" w:cs="仿宋"/>
          <w:color w:val="000000"/>
          <w:spacing w:val="6"/>
          <w:sz w:val="30"/>
          <w:szCs w:val="30"/>
        </w:rPr>
      </w:pPr>
      <w:bookmarkStart w:id="418" w:name="_Toc27056"/>
      <w:bookmarkStart w:id="419" w:name="_Toc13641"/>
      <w:bookmarkStart w:id="420" w:name="_Toc2531"/>
      <w:bookmarkStart w:id="421" w:name="_Toc11427"/>
      <w:bookmarkStart w:id="422" w:name="_Toc6655"/>
      <w:bookmarkStart w:id="423" w:name="_Toc11876"/>
      <w:r>
        <w:rPr>
          <w:rFonts w:hint="eastAsia" w:ascii="仿宋" w:hAnsi="仿宋" w:eastAsia="仿宋" w:cs="仿宋"/>
          <w:color w:val="000000"/>
          <w:sz w:val="28"/>
          <w:szCs w:val="28"/>
        </w:rPr>
        <w:t>附 件5：残疾人福利性单位声明函</w:t>
      </w:r>
      <w:bookmarkEnd w:id="418"/>
      <w:bookmarkEnd w:id="419"/>
      <w:bookmarkEnd w:id="420"/>
      <w:bookmarkEnd w:id="421"/>
      <w:bookmarkEnd w:id="422"/>
      <w:bookmarkEnd w:id="423"/>
    </w:p>
    <w:p w14:paraId="5918A74A">
      <w:pPr>
        <w:spacing w:line="588"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本单位郑重声明，根据《财政部 民政部 中国残疾人联合会关于促进残疾人就业政府采购政策的通知》（财库〔2017〕 141号）的规定，本单位为符合条件的残疾人福利性单位，且本单位参加</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单位的采购文件编号为</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的</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项目采购活动提供本单位制造的货物（由本单位承担工程/提供服务），或者提供其他残疾人福利性单位制造的货物（不包括使用非残疾人福利性单位注册商标的货物）。</w:t>
      </w:r>
    </w:p>
    <w:p w14:paraId="01986445">
      <w:pPr>
        <w:spacing w:line="588"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本单位对上述声明的真实性负责。如有虚假，将依法承担相应责任。</w:t>
      </w:r>
    </w:p>
    <w:p w14:paraId="5A755E2E">
      <w:pPr>
        <w:spacing w:line="588"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 xml:space="preserve"> </w:t>
      </w:r>
    </w:p>
    <w:p w14:paraId="0B892FA5">
      <w:pPr>
        <w:spacing w:line="588"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（备注：1、供应商如不提供此声明函，将不享受相关优惠政策。2、成交供应商为残疾人福利单位的，此声明函将随成交结果同时公告，接受社会监督）</w:t>
      </w:r>
    </w:p>
    <w:p w14:paraId="73113FFD">
      <w:pPr>
        <w:spacing w:line="588" w:lineRule="exact"/>
        <w:ind w:firstLine="624" w:firstLineChars="200"/>
        <w:rPr>
          <w:rFonts w:ascii="仿宋" w:hAnsi="仿宋" w:eastAsia="仿宋" w:cs="仿宋"/>
          <w:color w:val="000000"/>
          <w:spacing w:val="6"/>
          <w:sz w:val="30"/>
          <w:szCs w:val="30"/>
        </w:rPr>
      </w:pPr>
      <w:r>
        <w:rPr>
          <w:rFonts w:hint="eastAsia" w:ascii="仿宋" w:hAnsi="仿宋" w:eastAsia="仿宋" w:cs="仿宋"/>
          <w:color w:val="000000"/>
          <w:spacing w:val="6"/>
          <w:sz w:val="30"/>
          <w:szCs w:val="30"/>
        </w:rPr>
        <w:t xml:space="preserve"> </w:t>
      </w:r>
    </w:p>
    <w:p w14:paraId="025539A2">
      <w:pPr>
        <w:pStyle w:val="25"/>
        <w:rPr>
          <w:rFonts w:ascii="仿宋" w:hAnsi="仿宋" w:eastAsia="仿宋" w:cs="仿宋"/>
          <w:color w:val="000000"/>
          <w:spacing w:val="6"/>
          <w:sz w:val="30"/>
          <w:szCs w:val="30"/>
        </w:rPr>
      </w:pPr>
    </w:p>
    <w:p w14:paraId="66318B9D">
      <w:pPr>
        <w:pStyle w:val="25"/>
        <w:ind w:firstLine="0"/>
        <w:rPr>
          <w:rFonts w:ascii="仿宋" w:hAnsi="仿宋" w:eastAsia="仿宋" w:cs="仿宋"/>
          <w:color w:val="000000"/>
          <w:spacing w:val="6"/>
          <w:sz w:val="30"/>
          <w:szCs w:val="30"/>
        </w:rPr>
      </w:pPr>
    </w:p>
    <w:p w14:paraId="2B754B87">
      <w:pPr>
        <w:spacing w:line="588" w:lineRule="exact"/>
        <w:ind w:right="1560" w:firstLine="624" w:firstLineChars="200"/>
        <w:jc w:val="center"/>
        <w:rPr>
          <w:rFonts w:ascii="仿宋" w:hAnsi="仿宋" w:eastAsia="仿宋" w:cs="仿宋"/>
          <w:color w:val="000000"/>
          <w:sz w:val="24"/>
          <w:szCs w:val="24"/>
        </w:rPr>
      </w:pPr>
      <w:r>
        <w:rPr>
          <w:rFonts w:hint="eastAsia" w:ascii="仿宋" w:hAnsi="仿宋" w:eastAsia="仿宋" w:cs="仿宋"/>
          <w:color w:val="000000"/>
          <w:spacing w:val="6"/>
          <w:sz w:val="30"/>
          <w:szCs w:val="30"/>
        </w:rPr>
        <w:t xml:space="preserve">             </w:t>
      </w:r>
      <w:r>
        <w:rPr>
          <w:rFonts w:hint="eastAsia" w:ascii="仿宋" w:hAnsi="仿宋" w:eastAsia="仿宋" w:cs="仿宋"/>
          <w:color w:val="000000"/>
          <w:sz w:val="24"/>
          <w:szCs w:val="24"/>
        </w:rPr>
        <w:t xml:space="preserve">          供应商全称（加盖公章）：</w:t>
      </w:r>
    </w:p>
    <w:p w14:paraId="216AAD09">
      <w:pPr>
        <w:spacing w:line="588" w:lineRule="exact"/>
        <w:ind w:right="1560" w:firstLine="480" w:firstLineChars="200"/>
        <w:jc w:val="center"/>
        <w:rPr>
          <w:rFonts w:ascii="仿宋" w:hAnsi="仿宋" w:eastAsia="仿宋" w:cs="仿宋"/>
          <w:b/>
          <w:bCs/>
          <w:color w:val="000000"/>
          <w:sz w:val="28"/>
          <w:szCs w:val="28"/>
        </w:rPr>
      </w:pPr>
      <w:r>
        <w:rPr>
          <w:rFonts w:hint="eastAsia" w:ascii="仿宋" w:hAnsi="仿宋" w:eastAsia="仿宋" w:cs="仿宋"/>
          <w:color w:val="000000"/>
          <w:sz w:val="24"/>
          <w:szCs w:val="24"/>
        </w:rPr>
        <w:t xml:space="preserve">             日  期：</w:t>
      </w:r>
      <w:bookmarkStart w:id="424" w:name="_Toc17017"/>
      <w:bookmarkStart w:id="425" w:name="_Toc19567"/>
    </w:p>
    <w:bookmarkEnd w:id="417"/>
    <w:bookmarkEnd w:id="424"/>
    <w:bookmarkEnd w:id="425"/>
    <w:p w14:paraId="18E8BD61">
      <w:pPr>
        <w:rPr>
          <w:rFonts w:ascii="仿宋" w:hAnsi="仿宋" w:eastAsia="仿宋" w:cs="仿宋"/>
          <w:color w:val="000000"/>
        </w:rPr>
      </w:pPr>
    </w:p>
    <w:sectPr>
      <w:footerReference r:id="rId13" w:type="default"/>
      <w:pgSz w:w="11906" w:h="16838"/>
      <w:pgMar w:top="1440" w:right="856" w:bottom="1440" w:left="11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Arial">
    <w:panose1 w:val="020B0604020202020204"/>
    <w:charset w:val="00"/>
    <w:family w:val="swiss"/>
    <w:pitch w:val="default"/>
    <w:sig w:usb0="E0002EFF" w:usb1="C000785B" w:usb2="00000009" w:usb3="00000000" w:csb0="400001FF" w:csb1="FFFF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888D3">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04083">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D0DF2">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45616">
    <w:pPr>
      <w:pStyle w:val="11"/>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63D45">
    <w:pPr>
      <w:pStyle w:val="11"/>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F9F0B">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AA8F20">
                          <w:pPr>
                            <w:pStyle w:val="11"/>
                            <w:ind w:firstLine="36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BAA8F20">
                    <w:pPr>
                      <w:pStyle w:val="11"/>
                      <w:ind w:firstLine="360"/>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AB8C9">
    <w:pPr>
      <w:pStyle w:val="11"/>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6BBFD6">
                          <w:pPr>
                            <w:pStyle w:val="11"/>
                            <w:ind w:firstLine="360"/>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7B6BBFD6">
                    <w:pPr>
                      <w:pStyle w:val="11"/>
                      <w:ind w:firstLine="360"/>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1C6EA">
    <w:pPr>
      <w:pStyle w:val="11"/>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CF8948">
                          <w:pPr>
                            <w:pStyle w:val="11"/>
                            <w:ind w:firstLine="360"/>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01CF8948">
                    <w:pPr>
                      <w:pStyle w:val="11"/>
                      <w:ind w:firstLine="360"/>
                    </w:pPr>
                    <w:r>
                      <w:fldChar w:fldCharType="begin"/>
                    </w:r>
                    <w:r>
                      <w:instrText xml:space="preserve"> PAGE  \* MERGEFORMAT </w:instrText>
                    </w:r>
                    <w:r>
                      <w:fldChar w:fldCharType="separate"/>
                    </w:r>
                    <w:r>
                      <w:t>45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9B870">
    <w:pPr>
      <w:pStyle w:val="13"/>
      <w:pBdr>
        <w:bottom w:val="single" w:color="auto" w:sz="4" w:space="1"/>
      </w:pBdr>
      <w:spacing w:line="240" w:lineRule="atLeast"/>
      <w:ind w:firstLine="0" w:firstLineChars="0"/>
      <w:rPr>
        <w:rFonts w:ascii="仿宋" w:hAnsi="仿宋" w:eastAsia="仿宋" w:cs="仿宋"/>
      </w:rPr>
    </w:pPr>
    <w:r>
      <w:rPr>
        <w:rFonts w:hint="eastAsia" w:ascii="仿宋" w:hAnsi="仿宋" w:eastAsia="仿宋" w:cs="仿宋"/>
      </w:rPr>
      <w:t>NJDCX-202406120824                                                           南京达琛鑫工程咨询有限公司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BA89B">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FC17D">
    <w:pPr>
      <w:pStyle w:val="13"/>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30F5CE"/>
    <w:multiLevelType w:val="singleLevel"/>
    <w:tmpl w:val="B530F5CE"/>
    <w:lvl w:ilvl="0" w:tentative="0">
      <w:start w:val="1"/>
      <w:numFmt w:val="ideographTraditional"/>
      <w:suff w:val="nothing"/>
      <w:lvlText w:val="%1、"/>
      <w:lvlJc w:val="left"/>
      <w:rPr>
        <w:rFonts w:hint="eastAsia"/>
      </w:rPr>
    </w:lvl>
  </w:abstractNum>
  <w:abstractNum w:abstractNumId="1">
    <w:nsid w:val="B6E75315"/>
    <w:multiLevelType w:val="singleLevel"/>
    <w:tmpl w:val="B6E75315"/>
    <w:lvl w:ilvl="0" w:tentative="0">
      <w:start w:val="1"/>
      <w:numFmt w:val="chineseCounting"/>
      <w:suff w:val="nothing"/>
      <w:lvlText w:val="%1、"/>
      <w:lvlJc w:val="left"/>
      <w:rPr>
        <w:rFonts w:hint="eastAsia"/>
      </w:rPr>
    </w:lvl>
  </w:abstractNum>
  <w:abstractNum w:abstractNumId="2">
    <w:nsid w:val="CFB53775"/>
    <w:multiLevelType w:val="singleLevel"/>
    <w:tmpl w:val="CFB53775"/>
    <w:lvl w:ilvl="0" w:tentative="0">
      <w:start w:val="1"/>
      <w:numFmt w:val="chineseCounting"/>
      <w:suff w:val="nothing"/>
      <w:lvlText w:val="（%1）"/>
      <w:lvlJc w:val="left"/>
      <w:pPr>
        <w:ind w:left="0" w:firstLine="420"/>
      </w:pPr>
      <w:rPr>
        <w:rFonts w:hint="eastAsia"/>
      </w:rPr>
    </w:lvl>
  </w:abstractNum>
  <w:abstractNum w:abstractNumId="3">
    <w:nsid w:val="E782702B"/>
    <w:multiLevelType w:val="singleLevel"/>
    <w:tmpl w:val="E782702B"/>
    <w:lvl w:ilvl="0" w:tentative="0">
      <w:start w:val="3"/>
      <w:numFmt w:val="decimal"/>
      <w:lvlText w:val="%1."/>
      <w:lvlJc w:val="left"/>
      <w:pPr>
        <w:tabs>
          <w:tab w:val="left" w:pos="312"/>
        </w:tabs>
      </w:pPr>
    </w:lvl>
  </w:abstractNum>
  <w:abstractNum w:abstractNumId="4">
    <w:nsid w:val="EA00CA1A"/>
    <w:multiLevelType w:val="singleLevel"/>
    <w:tmpl w:val="EA00CA1A"/>
    <w:lvl w:ilvl="0" w:tentative="0">
      <w:start w:val="6"/>
      <w:numFmt w:val="decimal"/>
      <w:lvlText w:val="%1."/>
      <w:lvlJc w:val="left"/>
      <w:pPr>
        <w:tabs>
          <w:tab w:val="left" w:pos="312"/>
        </w:tabs>
      </w:pPr>
    </w:lvl>
  </w:abstractNum>
  <w:abstractNum w:abstractNumId="5">
    <w:nsid w:val="00000002"/>
    <w:multiLevelType w:val="multilevel"/>
    <w:tmpl w:val="00000002"/>
    <w:lvl w:ilvl="0" w:tentative="0">
      <w:start w:val="1"/>
      <w:numFmt w:val="decimal"/>
      <w:suff w:val="nothing"/>
      <w:lvlText w:val="第 %1 部分 "/>
      <w:lvlJc w:val="left"/>
      <w:rPr>
        <w:rFonts w:hint="eastAsia" w:ascii="黑体" w:hAnsi="宋体" w:eastAsia="黑体"/>
        <w:b/>
        <w:bCs/>
        <w:i w:val="0"/>
        <w:iCs w:val="0"/>
        <w:caps w:val="0"/>
        <w:smallCaps w:val="0"/>
        <w:spacing w:val="0"/>
        <w:position w:val="0"/>
        <w:u w:val="none"/>
        <w:vertAlign w:val="baseline"/>
      </w:rPr>
    </w:lvl>
    <w:lvl w:ilvl="1" w:tentative="0">
      <w:start w:val="1"/>
      <w:numFmt w:val="decimal"/>
      <w:pStyle w:val="3"/>
      <w:isLgl/>
      <w:suff w:val="nothing"/>
      <w:lvlText w:val="%1.%2 "/>
      <w:lvlJc w:val="left"/>
      <w:rPr>
        <w:rFonts w:hint="eastAsia"/>
      </w:rPr>
    </w:lvl>
    <w:lvl w:ilvl="2" w:tentative="0">
      <w:start w:val="1"/>
      <w:numFmt w:val="none"/>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6">
    <w:nsid w:val="22BA6FC9"/>
    <w:multiLevelType w:val="multilevel"/>
    <w:tmpl w:val="22BA6FC9"/>
    <w:lvl w:ilvl="0" w:tentative="0">
      <w:start w:val="1"/>
      <w:numFmt w:val="decimal"/>
      <w:lvlText w:val="%1."/>
      <w:lvlJc w:val="left"/>
      <w:pPr>
        <w:ind w:left="840" w:hanging="420"/>
      </w:pPr>
    </w:lvl>
    <w:lvl w:ilvl="1" w:tentative="0">
      <w:start w:val="1"/>
      <w:numFmt w:val="decimal"/>
      <w:lvlText w:val="%2、"/>
      <w:lvlJc w:val="left"/>
      <w:pPr>
        <w:ind w:left="1200" w:hanging="360"/>
      </w:pPr>
      <w:rPr>
        <w:rFonts w:hint="default"/>
      </w:rPr>
    </w:lvl>
    <w:lvl w:ilvl="2" w:tentative="0">
      <w:start w:val="1"/>
      <w:numFmt w:val="japaneseCounting"/>
      <w:lvlText w:val="%3、"/>
      <w:lvlJc w:val="left"/>
      <w:pPr>
        <w:ind w:left="1710" w:hanging="450"/>
      </w:pPr>
      <w:rPr>
        <w:rFonts w:hint="default"/>
      </w:r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3D1F110B"/>
    <w:multiLevelType w:val="singleLevel"/>
    <w:tmpl w:val="3D1F110B"/>
    <w:lvl w:ilvl="0" w:tentative="0">
      <w:start w:val="1"/>
      <w:numFmt w:val="decimal"/>
      <w:suff w:val="nothing"/>
      <w:lvlText w:val="（%1）"/>
      <w:lvlJc w:val="left"/>
      <w:pPr>
        <w:ind w:left="-60"/>
      </w:pPr>
    </w:lvl>
  </w:abstractNum>
  <w:abstractNum w:abstractNumId="8">
    <w:nsid w:val="3D6FA580"/>
    <w:multiLevelType w:val="singleLevel"/>
    <w:tmpl w:val="3D6FA580"/>
    <w:lvl w:ilvl="0" w:tentative="0">
      <w:start w:val="6"/>
      <w:numFmt w:val="chineseCounting"/>
      <w:suff w:val="nothing"/>
      <w:lvlText w:val="%1、"/>
      <w:lvlJc w:val="left"/>
      <w:rPr>
        <w:rFonts w:hint="eastAsia"/>
      </w:rPr>
    </w:lvl>
  </w:abstractNum>
  <w:abstractNum w:abstractNumId="9">
    <w:nsid w:val="597402D8"/>
    <w:multiLevelType w:val="multilevel"/>
    <w:tmpl w:val="597402D8"/>
    <w:lvl w:ilvl="0" w:tentative="0">
      <w:start w:val="1"/>
      <w:numFmt w:val="japaneseCounting"/>
      <w:pStyle w:val="30"/>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0">
    <w:nsid w:val="6D90557B"/>
    <w:multiLevelType w:val="singleLevel"/>
    <w:tmpl w:val="6D90557B"/>
    <w:lvl w:ilvl="0" w:tentative="0">
      <w:start w:val="5"/>
      <w:numFmt w:val="decimal"/>
      <w:suff w:val="nothing"/>
      <w:lvlText w:val="%1、"/>
      <w:lvlJc w:val="left"/>
    </w:lvl>
  </w:abstractNum>
  <w:num w:numId="1">
    <w:abstractNumId w:val="5"/>
  </w:num>
  <w:num w:numId="2">
    <w:abstractNumId w:val="9"/>
  </w:num>
  <w:num w:numId="3">
    <w:abstractNumId w:val="1"/>
  </w:num>
  <w:num w:numId="4">
    <w:abstractNumId w:val="6"/>
  </w:num>
  <w:num w:numId="5">
    <w:abstractNumId w:val="8"/>
  </w:num>
  <w:num w:numId="6">
    <w:abstractNumId w:val="3"/>
  </w:num>
  <w:num w:numId="7">
    <w:abstractNumId w:val="7"/>
  </w:num>
  <w:num w:numId="8">
    <w:abstractNumId w:val="0"/>
  </w:num>
  <w:num w:numId="9">
    <w:abstractNumId w:val="4"/>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0YjMzNzU5OWQzN2VkOGFjYWI2OGViMmUwZGIwMTAifQ=="/>
  </w:docVars>
  <w:rsids>
    <w:rsidRoot w:val="00493FD2"/>
    <w:rsid w:val="000807F7"/>
    <w:rsid w:val="000C3DA7"/>
    <w:rsid w:val="00103897"/>
    <w:rsid w:val="00125861"/>
    <w:rsid w:val="001C66E0"/>
    <w:rsid w:val="002B06D1"/>
    <w:rsid w:val="003550AC"/>
    <w:rsid w:val="003577A2"/>
    <w:rsid w:val="003752C8"/>
    <w:rsid w:val="00493FD2"/>
    <w:rsid w:val="00500138"/>
    <w:rsid w:val="0050638A"/>
    <w:rsid w:val="005F481F"/>
    <w:rsid w:val="006E05BE"/>
    <w:rsid w:val="00704336"/>
    <w:rsid w:val="0075194C"/>
    <w:rsid w:val="007B5673"/>
    <w:rsid w:val="009701B9"/>
    <w:rsid w:val="00977B14"/>
    <w:rsid w:val="00A010BF"/>
    <w:rsid w:val="00A820A0"/>
    <w:rsid w:val="00AE30B0"/>
    <w:rsid w:val="00B06E28"/>
    <w:rsid w:val="00B406C6"/>
    <w:rsid w:val="00B776BF"/>
    <w:rsid w:val="00C04D14"/>
    <w:rsid w:val="00D6623C"/>
    <w:rsid w:val="00DA53E9"/>
    <w:rsid w:val="00F41F2C"/>
    <w:rsid w:val="00F878F4"/>
    <w:rsid w:val="00FB4547"/>
    <w:rsid w:val="01017684"/>
    <w:rsid w:val="010A3C11"/>
    <w:rsid w:val="010D7DD7"/>
    <w:rsid w:val="0112363F"/>
    <w:rsid w:val="011B6997"/>
    <w:rsid w:val="012A4E2C"/>
    <w:rsid w:val="012F41F1"/>
    <w:rsid w:val="012F78E3"/>
    <w:rsid w:val="013E61E2"/>
    <w:rsid w:val="01401F5A"/>
    <w:rsid w:val="01431A4A"/>
    <w:rsid w:val="014A4B87"/>
    <w:rsid w:val="01514167"/>
    <w:rsid w:val="01545A05"/>
    <w:rsid w:val="0156177E"/>
    <w:rsid w:val="01687703"/>
    <w:rsid w:val="017B5688"/>
    <w:rsid w:val="01891B53"/>
    <w:rsid w:val="01AA3877"/>
    <w:rsid w:val="01AF5332"/>
    <w:rsid w:val="01CC5EE4"/>
    <w:rsid w:val="01D34B7C"/>
    <w:rsid w:val="01FC0825"/>
    <w:rsid w:val="01FC26D0"/>
    <w:rsid w:val="020016E9"/>
    <w:rsid w:val="02094A42"/>
    <w:rsid w:val="020A2568"/>
    <w:rsid w:val="02191E9F"/>
    <w:rsid w:val="02247ACE"/>
    <w:rsid w:val="02300221"/>
    <w:rsid w:val="025832D3"/>
    <w:rsid w:val="025B2DC4"/>
    <w:rsid w:val="026305F6"/>
    <w:rsid w:val="026D3223"/>
    <w:rsid w:val="02775E4F"/>
    <w:rsid w:val="028247F4"/>
    <w:rsid w:val="0288005D"/>
    <w:rsid w:val="0295277A"/>
    <w:rsid w:val="029C3B08"/>
    <w:rsid w:val="02A4476B"/>
    <w:rsid w:val="02AB0EC1"/>
    <w:rsid w:val="02AD1871"/>
    <w:rsid w:val="02AD7AC3"/>
    <w:rsid w:val="02C46BBB"/>
    <w:rsid w:val="02D908B8"/>
    <w:rsid w:val="02F0175E"/>
    <w:rsid w:val="02F05C02"/>
    <w:rsid w:val="02F41532"/>
    <w:rsid w:val="02F456F2"/>
    <w:rsid w:val="031E276F"/>
    <w:rsid w:val="0321400D"/>
    <w:rsid w:val="033057EA"/>
    <w:rsid w:val="033E696D"/>
    <w:rsid w:val="03824AAC"/>
    <w:rsid w:val="038F0F77"/>
    <w:rsid w:val="03990047"/>
    <w:rsid w:val="03A04F32"/>
    <w:rsid w:val="03B24C65"/>
    <w:rsid w:val="03C74BB5"/>
    <w:rsid w:val="03C7719F"/>
    <w:rsid w:val="03DA48E8"/>
    <w:rsid w:val="03DB41BC"/>
    <w:rsid w:val="03DF6060"/>
    <w:rsid w:val="03E07A24"/>
    <w:rsid w:val="03F434D0"/>
    <w:rsid w:val="04003C23"/>
    <w:rsid w:val="04025BED"/>
    <w:rsid w:val="04100C6F"/>
    <w:rsid w:val="041A1188"/>
    <w:rsid w:val="04247911"/>
    <w:rsid w:val="04357D70"/>
    <w:rsid w:val="04461F7D"/>
    <w:rsid w:val="046C12B8"/>
    <w:rsid w:val="046C3066"/>
    <w:rsid w:val="04806B11"/>
    <w:rsid w:val="04912ACD"/>
    <w:rsid w:val="04951178"/>
    <w:rsid w:val="04A62A1C"/>
    <w:rsid w:val="04C11604"/>
    <w:rsid w:val="04C335CE"/>
    <w:rsid w:val="04C80BE4"/>
    <w:rsid w:val="04CE1F73"/>
    <w:rsid w:val="04E84DE3"/>
    <w:rsid w:val="04F6199F"/>
    <w:rsid w:val="04FA2D68"/>
    <w:rsid w:val="04FC6AE0"/>
    <w:rsid w:val="05045994"/>
    <w:rsid w:val="051E6A56"/>
    <w:rsid w:val="05281683"/>
    <w:rsid w:val="054B2C0A"/>
    <w:rsid w:val="05504736"/>
    <w:rsid w:val="057E74F5"/>
    <w:rsid w:val="05856AD5"/>
    <w:rsid w:val="05924D4E"/>
    <w:rsid w:val="059268C4"/>
    <w:rsid w:val="059C797B"/>
    <w:rsid w:val="05A76A4C"/>
    <w:rsid w:val="05B42F17"/>
    <w:rsid w:val="05B80C59"/>
    <w:rsid w:val="05C649F8"/>
    <w:rsid w:val="05C876D0"/>
    <w:rsid w:val="05CF7D50"/>
    <w:rsid w:val="05D70293"/>
    <w:rsid w:val="05E732EC"/>
    <w:rsid w:val="05EA6938"/>
    <w:rsid w:val="05F25AE7"/>
    <w:rsid w:val="060077E8"/>
    <w:rsid w:val="060B52E5"/>
    <w:rsid w:val="060D2627"/>
    <w:rsid w:val="060F45F1"/>
    <w:rsid w:val="06350E45"/>
    <w:rsid w:val="063D115E"/>
    <w:rsid w:val="063E0A32"/>
    <w:rsid w:val="06475B39"/>
    <w:rsid w:val="06514C09"/>
    <w:rsid w:val="06674014"/>
    <w:rsid w:val="066A1827"/>
    <w:rsid w:val="06846D8D"/>
    <w:rsid w:val="06AB431A"/>
    <w:rsid w:val="06B01930"/>
    <w:rsid w:val="06B55198"/>
    <w:rsid w:val="06CE625A"/>
    <w:rsid w:val="06F04AA9"/>
    <w:rsid w:val="06F51A39"/>
    <w:rsid w:val="06FA2BAB"/>
    <w:rsid w:val="06FC4B75"/>
    <w:rsid w:val="070457D8"/>
    <w:rsid w:val="0708176C"/>
    <w:rsid w:val="07174993"/>
    <w:rsid w:val="072B00F8"/>
    <w:rsid w:val="07351E35"/>
    <w:rsid w:val="073A744C"/>
    <w:rsid w:val="075E138C"/>
    <w:rsid w:val="075E75DE"/>
    <w:rsid w:val="077E37DC"/>
    <w:rsid w:val="079528D4"/>
    <w:rsid w:val="07A42EE0"/>
    <w:rsid w:val="07C5140B"/>
    <w:rsid w:val="07D63618"/>
    <w:rsid w:val="07F8733B"/>
    <w:rsid w:val="08002443"/>
    <w:rsid w:val="080812F8"/>
    <w:rsid w:val="081A063F"/>
    <w:rsid w:val="082425D6"/>
    <w:rsid w:val="082812D2"/>
    <w:rsid w:val="083420ED"/>
    <w:rsid w:val="08470072"/>
    <w:rsid w:val="085207C5"/>
    <w:rsid w:val="0858227F"/>
    <w:rsid w:val="08601134"/>
    <w:rsid w:val="087370B9"/>
    <w:rsid w:val="08766BA9"/>
    <w:rsid w:val="08816B87"/>
    <w:rsid w:val="088766C0"/>
    <w:rsid w:val="08962DA7"/>
    <w:rsid w:val="089E3A0A"/>
    <w:rsid w:val="08A059D4"/>
    <w:rsid w:val="08C94F2B"/>
    <w:rsid w:val="08C96CD9"/>
    <w:rsid w:val="08F71A98"/>
    <w:rsid w:val="08FA3336"/>
    <w:rsid w:val="08FA6E92"/>
    <w:rsid w:val="090221EB"/>
    <w:rsid w:val="091F4B4B"/>
    <w:rsid w:val="0926412B"/>
    <w:rsid w:val="09320D22"/>
    <w:rsid w:val="09371E95"/>
    <w:rsid w:val="093F343F"/>
    <w:rsid w:val="093F51ED"/>
    <w:rsid w:val="094840A2"/>
    <w:rsid w:val="095742E5"/>
    <w:rsid w:val="095C18FB"/>
    <w:rsid w:val="095E1B17"/>
    <w:rsid w:val="095E38C5"/>
    <w:rsid w:val="097A7FD3"/>
    <w:rsid w:val="09830D88"/>
    <w:rsid w:val="09931095"/>
    <w:rsid w:val="09E57B43"/>
    <w:rsid w:val="0A0106F5"/>
    <w:rsid w:val="0A03446D"/>
    <w:rsid w:val="0A083831"/>
    <w:rsid w:val="0A0A30D1"/>
    <w:rsid w:val="0A2543E3"/>
    <w:rsid w:val="0A2D5046"/>
    <w:rsid w:val="0A3B59B5"/>
    <w:rsid w:val="0A3D797F"/>
    <w:rsid w:val="0A430D0D"/>
    <w:rsid w:val="0A454A85"/>
    <w:rsid w:val="0A4A5BF8"/>
    <w:rsid w:val="0A5371A2"/>
    <w:rsid w:val="0A56459C"/>
    <w:rsid w:val="0A5922DF"/>
    <w:rsid w:val="0A6C3DC0"/>
    <w:rsid w:val="0A726EFC"/>
    <w:rsid w:val="0A8530D4"/>
    <w:rsid w:val="0AAC240E"/>
    <w:rsid w:val="0AAC68B2"/>
    <w:rsid w:val="0AC0235E"/>
    <w:rsid w:val="0AC37758"/>
    <w:rsid w:val="0ACC0D02"/>
    <w:rsid w:val="0ADB7197"/>
    <w:rsid w:val="0AFF69E2"/>
    <w:rsid w:val="0B0264D2"/>
    <w:rsid w:val="0B183F48"/>
    <w:rsid w:val="0B1A1A6E"/>
    <w:rsid w:val="0B332A7D"/>
    <w:rsid w:val="0B407F54"/>
    <w:rsid w:val="0B48482D"/>
    <w:rsid w:val="0B495EAF"/>
    <w:rsid w:val="0B574A70"/>
    <w:rsid w:val="0B5A4560"/>
    <w:rsid w:val="0B5D7BAD"/>
    <w:rsid w:val="0B6158EF"/>
    <w:rsid w:val="0B6B4077"/>
    <w:rsid w:val="0B705B32"/>
    <w:rsid w:val="0B723658"/>
    <w:rsid w:val="0B7D1FFD"/>
    <w:rsid w:val="0B8769D7"/>
    <w:rsid w:val="0B8E420A"/>
    <w:rsid w:val="0B9F01C5"/>
    <w:rsid w:val="0BA47589"/>
    <w:rsid w:val="0BA80E28"/>
    <w:rsid w:val="0BAE21B6"/>
    <w:rsid w:val="0BBC2B25"/>
    <w:rsid w:val="0BEF4CA9"/>
    <w:rsid w:val="0BF26547"/>
    <w:rsid w:val="0BFC1173"/>
    <w:rsid w:val="0BFE4EEC"/>
    <w:rsid w:val="0C083FBC"/>
    <w:rsid w:val="0C230DF6"/>
    <w:rsid w:val="0C346B5F"/>
    <w:rsid w:val="0C3B6140"/>
    <w:rsid w:val="0C580AA0"/>
    <w:rsid w:val="0C5C7E64"/>
    <w:rsid w:val="0C6E2C7C"/>
    <w:rsid w:val="0CA43CE5"/>
    <w:rsid w:val="0CC31C91"/>
    <w:rsid w:val="0CC55A09"/>
    <w:rsid w:val="0CE916F8"/>
    <w:rsid w:val="0D0C3638"/>
    <w:rsid w:val="0D0C53E6"/>
    <w:rsid w:val="0D0E2C58"/>
    <w:rsid w:val="0D116EA1"/>
    <w:rsid w:val="0D1C7D1F"/>
    <w:rsid w:val="0D2C7836"/>
    <w:rsid w:val="0D3606B5"/>
    <w:rsid w:val="0D3D37F2"/>
    <w:rsid w:val="0D5F5E5E"/>
    <w:rsid w:val="0D645222"/>
    <w:rsid w:val="0D646FD0"/>
    <w:rsid w:val="0D70006B"/>
    <w:rsid w:val="0D8633EB"/>
    <w:rsid w:val="0D9C49BC"/>
    <w:rsid w:val="0DA25D4B"/>
    <w:rsid w:val="0DA6419D"/>
    <w:rsid w:val="0DA675E9"/>
    <w:rsid w:val="0DBC0BBA"/>
    <w:rsid w:val="0DD423A8"/>
    <w:rsid w:val="0DDA3736"/>
    <w:rsid w:val="0DE14AC5"/>
    <w:rsid w:val="0DED16BC"/>
    <w:rsid w:val="0DF06AB6"/>
    <w:rsid w:val="0DF77E44"/>
    <w:rsid w:val="0DFF319D"/>
    <w:rsid w:val="0E0B38F0"/>
    <w:rsid w:val="0E1704E7"/>
    <w:rsid w:val="0E286250"/>
    <w:rsid w:val="0E320E7D"/>
    <w:rsid w:val="0E323572"/>
    <w:rsid w:val="0E3E5A73"/>
    <w:rsid w:val="0E3E7D4F"/>
    <w:rsid w:val="0E4B63E2"/>
    <w:rsid w:val="0E511C4A"/>
    <w:rsid w:val="0E574D87"/>
    <w:rsid w:val="0E576B35"/>
    <w:rsid w:val="0E666D78"/>
    <w:rsid w:val="0E682AF0"/>
    <w:rsid w:val="0E8D2557"/>
    <w:rsid w:val="0E8F762D"/>
    <w:rsid w:val="0EA31D7A"/>
    <w:rsid w:val="0EA7186A"/>
    <w:rsid w:val="0EBD5242"/>
    <w:rsid w:val="0EC20452"/>
    <w:rsid w:val="0ED21969"/>
    <w:rsid w:val="0ED63EFE"/>
    <w:rsid w:val="0EE228A3"/>
    <w:rsid w:val="0EFE5203"/>
    <w:rsid w:val="0F096081"/>
    <w:rsid w:val="0F0E3698"/>
    <w:rsid w:val="0F2C6214"/>
    <w:rsid w:val="0F751969"/>
    <w:rsid w:val="0F781459"/>
    <w:rsid w:val="0F7A6F7F"/>
    <w:rsid w:val="0F7F6343"/>
    <w:rsid w:val="0F96368D"/>
    <w:rsid w:val="0FB00BF3"/>
    <w:rsid w:val="0FD0094D"/>
    <w:rsid w:val="0FE97C61"/>
    <w:rsid w:val="0FFF1232"/>
    <w:rsid w:val="100D7DF3"/>
    <w:rsid w:val="101271B8"/>
    <w:rsid w:val="101A606C"/>
    <w:rsid w:val="10262C63"/>
    <w:rsid w:val="102B0279"/>
    <w:rsid w:val="102D2243"/>
    <w:rsid w:val="1037379A"/>
    <w:rsid w:val="103D0568"/>
    <w:rsid w:val="10572E1C"/>
    <w:rsid w:val="106065BE"/>
    <w:rsid w:val="106A6FF4"/>
    <w:rsid w:val="1075706B"/>
    <w:rsid w:val="107A6B0B"/>
    <w:rsid w:val="10831E63"/>
    <w:rsid w:val="10923E54"/>
    <w:rsid w:val="10A02A15"/>
    <w:rsid w:val="10A87B1C"/>
    <w:rsid w:val="10AC13BA"/>
    <w:rsid w:val="10DB57FB"/>
    <w:rsid w:val="10FD39C4"/>
    <w:rsid w:val="110034B4"/>
    <w:rsid w:val="11020FDA"/>
    <w:rsid w:val="1111121D"/>
    <w:rsid w:val="11203B56"/>
    <w:rsid w:val="11317B11"/>
    <w:rsid w:val="114C04A7"/>
    <w:rsid w:val="115D0906"/>
    <w:rsid w:val="11603F53"/>
    <w:rsid w:val="11847C41"/>
    <w:rsid w:val="11934328"/>
    <w:rsid w:val="119B4F8B"/>
    <w:rsid w:val="11C049F1"/>
    <w:rsid w:val="11D02E86"/>
    <w:rsid w:val="11D84431"/>
    <w:rsid w:val="11DA1F57"/>
    <w:rsid w:val="11E579A3"/>
    <w:rsid w:val="11F254F3"/>
    <w:rsid w:val="11F76665"/>
    <w:rsid w:val="12064AFA"/>
    <w:rsid w:val="1222745A"/>
    <w:rsid w:val="123A29F6"/>
    <w:rsid w:val="124039AB"/>
    <w:rsid w:val="1246139A"/>
    <w:rsid w:val="12483364"/>
    <w:rsid w:val="12535865"/>
    <w:rsid w:val="125A4E46"/>
    <w:rsid w:val="12677A45"/>
    <w:rsid w:val="12696E37"/>
    <w:rsid w:val="126F6B43"/>
    <w:rsid w:val="12723F3D"/>
    <w:rsid w:val="127A6699"/>
    <w:rsid w:val="12A5732F"/>
    <w:rsid w:val="12B427A8"/>
    <w:rsid w:val="12B75DF4"/>
    <w:rsid w:val="12B96010"/>
    <w:rsid w:val="12BC340B"/>
    <w:rsid w:val="12C16C73"/>
    <w:rsid w:val="12C2791B"/>
    <w:rsid w:val="12C66037"/>
    <w:rsid w:val="12D71F72"/>
    <w:rsid w:val="12D76496"/>
    <w:rsid w:val="12E04536"/>
    <w:rsid w:val="12FE7EC7"/>
    <w:rsid w:val="130059ED"/>
    <w:rsid w:val="130152C1"/>
    <w:rsid w:val="13053004"/>
    <w:rsid w:val="13135720"/>
    <w:rsid w:val="131C20FB"/>
    <w:rsid w:val="131E40C5"/>
    <w:rsid w:val="131F7DCA"/>
    <w:rsid w:val="13313DF9"/>
    <w:rsid w:val="133248D0"/>
    <w:rsid w:val="1347361C"/>
    <w:rsid w:val="13622204"/>
    <w:rsid w:val="136A10B9"/>
    <w:rsid w:val="13712447"/>
    <w:rsid w:val="13743CE5"/>
    <w:rsid w:val="1379754E"/>
    <w:rsid w:val="13914897"/>
    <w:rsid w:val="13983E78"/>
    <w:rsid w:val="1399374C"/>
    <w:rsid w:val="139E0D62"/>
    <w:rsid w:val="13A02D2C"/>
    <w:rsid w:val="13AA7707"/>
    <w:rsid w:val="13AC347F"/>
    <w:rsid w:val="13C7650B"/>
    <w:rsid w:val="13CB7DA9"/>
    <w:rsid w:val="13D824C6"/>
    <w:rsid w:val="13FD3CDB"/>
    <w:rsid w:val="140432BB"/>
    <w:rsid w:val="14092680"/>
    <w:rsid w:val="14180B15"/>
    <w:rsid w:val="14194354"/>
    <w:rsid w:val="14353475"/>
    <w:rsid w:val="14361A2F"/>
    <w:rsid w:val="14423DE3"/>
    <w:rsid w:val="14455576"/>
    <w:rsid w:val="144813FA"/>
    <w:rsid w:val="144D6A10"/>
    <w:rsid w:val="1457788F"/>
    <w:rsid w:val="14602C66"/>
    <w:rsid w:val="1461426A"/>
    <w:rsid w:val="146E6986"/>
    <w:rsid w:val="14733F9D"/>
    <w:rsid w:val="147815B3"/>
    <w:rsid w:val="147F6DE6"/>
    <w:rsid w:val="149F2FE4"/>
    <w:rsid w:val="149F4D92"/>
    <w:rsid w:val="14B4083D"/>
    <w:rsid w:val="14C41C81"/>
    <w:rsid w:val="14C52A4A"/>
    <w:rsid w:val="14D25167"/>
    <w:rsid w:val="14D94748"/>
    <w:rsid w:val="14DE1D5E"/>
    <w:rsid w:val="14E86739"/>
    <w:rsid w:val="14EB7FD7"/>
    <w:rsid w:val="14F21366"/>
    <w:rsid w:val="14F36FB6"/>
    <w:rsid w:val="14FB2910"/>
    <w:rsid w:val="14FD599B"/>
    <w:rsid w:val="15113EE2"/>
    <w:rsid w:val="15170DCC"/>
    <w:rsid w:val="152534E9"/>
    <w:rsid w:val="152D239E"/>
    <w:rsid w:val="15363948"/>
    <w:rsid w:val="15406575"/>
    <w:rsid w:val="154A2F50"/>
    <w:rsid w:val="15520056"/>
    <w:rsid w:val="15567B46"/>
    <w:rsid w:val="155D7127"/>
    <w:rsid w:val="156C2EC6"/>
    <w:rsid w:val="15714980"/>
    <w:rsid w:val="157B75AD"/>
    <w:rsid w:val="1585667E"/>
    <w:rsid w:val="15916DD0"/>
    <w:rsid w:val="15977DC9"/>
    <w:rsid w:val="15AE7982"/>
    <w:rsid w:val="15B14D7D"/>
    <w:rsid w:val="15B50D11"/>
    <w:rsid w:val="15BF393E"/>
    <w:rsid w:val="15CC605B"/>
    <w:rsid w:val="15DB44F0"/>
    <w:rsid w:val="15DD2016"/>
    <w:rsid w:val="15E213DA"/>
    <w:rsid w:val="15EC4007"/>
    <w:rsid w:val="15EE5FD1"/>
    <w:rsid w:val="15F4571E"/>
    <w:rsid w:val="16092E0B"/>
    <w:rsid w:val="16461969"/>
    <w:rsid w:val="16551BAC"/>
    <w:rsid w:val="16557EA0"/>
    <w:rsid w:val="16610551"/>
    <w:rsid w:val="16777D74"/>
    <w:rsid w:val="167C35DD"/>
    <w:rsid w:val="167F30CD"/>
    <w:rsid w:val="1699418F"/>
    <w:rsid w:val="169A1FBB"/>
    <w:rsid w:val="16CE195E"/>
    <w:rsid w:val="16F21F39"/>
    <w:rsid w:val="16FE2244"/>
    <w:rsid w:val="17017F86"/>
    <w:rsid w:val="17166065"/>
    <w:rsid w:val="1719707D"/>
    <w:rsid w:val="171F21BA"/>
    <w:rsid w:val="17253C74"/>
    <w:rsid w:val="172A4DE7"/>
    <w:rsid w:val="1735378C"/>
    <w:rsid w:val="17365E81"/>
    <w:rsid w:val="1739327C"/>
    <w:rsid w:val="173B6FF4"/>
    <w:rsid w:val="174329DC"/>
    <w:rsid w:val="17636805"/>
    <w:rsid w:val="1787048B"/>
    <w:rsid w:val="178B2244"/>
    <w:rsid w:val="178F5592"/>
    <w:rsid w:val="17946704"/>
    <w:rsid w:val="17996410"/>
    <w:rsid w:val="179E10D5"/>
    <w:rsid w:val="17A96653"/>
    <w:rsid w:val="17B9616B"/>
    <w:rsid w:val="17BA0860"/>
    <w:rsid w:val="17C76AD9"/>
    <w:rsid w:val="17CA65CA"/>
    <w:rsid w:val="17CF1E32"/>
    <w:rsid w:val="17D72D0D"/>
    <w:rsid w:val="17E256C1"/>
    <w:rsid w:val="17E53404"/>
    <w:rsid w:val="18047D2E"/>
    <w:rsid w:val="181635BD"/>
    <w:rsid w:val="18251A52"/>
    <w:rsid w:val="182E6B59"/>
    <w:rsid w:val="18357EE7"/>
    <w:rsid w:val="183F48C2"/>
    <w:rsid w:val="1847137D"/>
    <w:rsid w:val="18583BD5"/>
    <w:rsid w:val="185C1918"/>
    <w:rsid w:val="186802BC"/>
    <w:rsid w:val="18697B91"/>
    <w:rsid w:val="186B1B5B"/>
    <w:rsid w:val="1876405C"/>
    <w:rsid w:val="187F73B4"/>
    <w:rsid w:val="188B7B07"/>
    <w:rsid w:val="188E75F7"/>
    <w:rsid w:val="18956BD8"/>
    <w:rsid w:val="18A94431"/>
    <w:rsid w:val="18AD2173"/>
    <w:rsid w:val="18B84674"/>
    <w:rsid w:val="18C1177B"/>
    <w:rsid w:val="18E45469"/>
    <w:rsid w:val="18F7519C"/>
    <w:rsid w:val="190478B9"/>
    <w:rsid w:val="192A37C4"/>
    <w:rsid w:val="192B12EA"/>
    <w:rsid w:val="19401193"/>
    <w:rsid w:val="19570331"/>
    <w:rsid w:val="19630A84"/>
    <w:rsid w:val="199450E1"/>
    <w:rsid w:val="19960E59"/>
    <w:rsid w:val="19A60971"/>
    <w:rsid w:val="19AC5F87"/>
    <w:rsid w:val="19AD57BF"/>
    <w:rsid w:val="19AD7F51"/>
    <w:rsid w:val="19B27315"/>
    <w:rsid w:val="19B47531"/>
    <w:rsid w:val="19BB441C"/>
    <w:rsid w:val="19BC78C6"/>
    <w:rsid w:val="19C84D8B"/>
    <w:rsid w:val="19CA28B1"/>
    <w:rsid w:val="19CC740E"/>
    <w:rsid w:val="19D35C0A"/>
    <w:rsid w:val="19DD7490"/>
    <w:rsid w:val="19DE0729"/>
    <w:rsid w:val="19F61C01"/>
    <w:rsid w:val="19F636A6"/>
    <w:rsid w:val="19FE255B"/>
    <w:rsid w:val="1A02204B"/>
    <w:rsid w:val="1A0E09F0"/>
    <w:rsid w:val="1A1308A7"/>
    <w:rsid w:val="1A141D7E"/>
    <w:rsid w:val="1A1A55E6"/>
    <w:rsid w:val="1A2A3350"/>
    <w:rsid w:val="1A3B37AF"/>
    <w:rsid w:val="1A6C3968"/>
    <w:rsid w:val="1A736AA5"/>
    <w:rsid w:val="1A845156"/>
    <w:rsid w:val="1A9D7FC6"/>
    <w:rsid w:val="1AC15A62"/>
    <w:rsid w:val="1AC63078"/>
    <w:rsid w:val="1AD5524C"/>
    <w:rsid w:val="1AD559B1"/>
    <w:rsid w:val="1ADF7996"/>
    <w:rsid w:val="1B293607"/>
    <w:rsid w:val="1B2D759B"/>
    <w:rsid w:val="1B4B7A22"/>
    <w:rsid w:val="1B593EEC"/>
    <w:rsid w:val="1B60171F"/>
    <w:rsid w:val="1B634D6B"/>
    <w:rsid w:val="1B721452"/>
    <w:rsid w:val="1B8F3DB2"/>
    <w:rsid w:val="1B974A15"/>
    <w:rsid w:val="1BAA0BEC"/>
    <w:rsid w:val="1BAC6712"/>
    <w:rsid w:val="1BC670A8"/>
    <w:rsid w:val="1BCC2910"/>
    <w:rsid w:val="1BCF41AF"/>
    <w:rsid w:val="1BF12377"/>
    <w:rsid w:val="1C0320AA"/>
    <w:rsid w:val="1C073948"/>
    <w:rsid w:val="1C0E2F29"/>
    <w:rsid w:val="1C107568"/>
    <w:rsid w:val="1C295FB5"/>
    <w:rsid w:val="1C2A5889"/>
    <w:rsid w:val="1C33298F"/>
    <w:rsid w:val="1C484CA5"/>
    <w:rsid w:val="1C6F14EE"/>
    <w:rsid w:val="1C6F7740"/>
    <w:rsid w:val="1C715266"/>
    <w:rsid w:val="1C8C20A0"/>
    <w:rsid w:val="1C9B22E3"/>
    <w:rsid w:val="1CAD0994"/>
    <w:rsid w:val="1CBC0BD7"/>
    <w:rsid w:val="1CD04682"/>
    <w:rsid w:val="1CD31A7D"/>
    <w:rsid w:val="1CD557F5"/>
    <w:rsid w:val="1CEE2D5A"/>
    <w:rsid w:val="1CF71C0F"/>
    <w:rsid w:val="1CFC7E43"/>
    <w:rsid w:val="1CFF2872"/>
    <w:rsid w:val="1D04257E"/>
    <w:rsid w:val="1D0E53FB"/>
    <w:rsid w:val="1D100F23"/>
    <w:rsid w:val="1D1E3640"/>
    <w:rsid w:val="1D320E99"/>
    <w:rsid w:val="1D3544E5"/>
    <w:rsid w:val="1D4110DC"/>
    <w:rsid w:val="1D497F91"/>
    <w:rsid w:val="1D4E55A7"/>
    <w:rsid w:val="1D5A03F0"/>
    <w:rsid w:val="1D756FD8"/>
    <w:rsid w:val="1D8A2A83"/>
    <w:rsid w:val="1D9C27B6"/>
    <w:rsid w:val="1DA653E3"/>
    <w:rsid w:val="1DB47B00"/>
    <w:rsid w:val="1DC6338F"/>
    <w:rsid w:val="1DCF493A"/>
    <w:rsid w:val="1DD51824"/>
    <w:rsid w:val="1DDA6E3B"/>
    <w:rsid w:val="1DE5415D"/>
    <w:rsid w:val="1DEC729A"/>
    <w:rsid w:val="1DF20628"/>
    <w:rsid w:val="1DFE6FCD"/>
    <w:rsid w:val="1E0C1511"/>
    <w:rsid w:val="1E114F52"/>
    <w:rsid w:val="1E29229C"/>
    <w:rsid w:val="1E34479D"/>
    <w:rsid w:val="1E4C1AE7"/>
    <w:rsid w:val="1E7C6048"/>
    <w:rsid w:val="1E854FF8"/>
    <w:rsid w:val="1E982F7E"/>
    <w:rsid w:val="1EA00084"/>
    <w:rsid w:val="1EA5248C"/>
    <w:rsid w:val="1EAA2CB1"/>
    <w:rsid w:val="1EAF02C7"/>
    <w:rsid w:val="1EB458DE"/>
    <w:rsid w:val="1EBF49AE"/>
    <w:rsid w:val="1EF06916"/>
    <w:rsid w:val="1EFF6C0D"/>
    <w:rsid w:val="1F204D21"/>
    <w:rsid w:val="1F2A132B"/>
    <w:rsid w:val="1F536EA5"/>
    <w:rsid w:val="1F672950"/>
    <w:rsid w:val="1F680BA2"/>
    <w:rsid w:val="1F686DF4"/>
    <w:rsid w:val="1F775289"/>
    <w:rsid w:val="1F7F5EEC"/>
    <w:rsid w:val="1F813A12"/>
    <w:rsid w:val="1F8D23B7"/>
    <w:rsid w:val="1F9835DC"/>
    <w:rsid w:val="1FAE05E3"/>
    <w:rsid w:val="1FB738D7"/>
    <w:rsid w:val="1FBE07C2"/>
    <w:rsid w:val="1FDA1374"/>
    <w:rsid w:val="1FDE7F6F"/>
    <w:rsid w:val="1FE21B2C"/>
    <w:rsid w:val="1FE50445"/>
    <w:rsid w:val="1FFC12EA"/>
    <w:rsid w:val="20142AD8"/>
    <w:rsid w:val="201C7BDE"/>
    <w:rsid w:val="203B1E13"/>
    <w:rsid w:val="203C5B8B"/>
    <w:rsid w:val="203E5DA7"/>
    <w:rsid w:val="2040567B"/>
    <w:rsid w:val="20484530"/>
    <w:rsid w:val="204A02A8"/>
    <w:rsid w:val="204A1CDD"/>
    <w:rsid w:val="20692E24"/>
    <w:rsid w:val="20AE4CDA"/>
    <w:rsid w:val="20B3409F"/>
    <w:rsid w:val="20BD316F"/>
    <w:rsid w:val="20BE47F2"/>
    <w:rsid w:val="20D109C9"/>
    <w:rsid w:val="20D3029D"/>
    <w:rsid w:val="20DD63AA"/>
    <w:rsid w:val="20F3093F"/>
    <w:rsid w:val="20FD531A"/>
    <w:rsid w:val="21026DD4"/>
    <w:rsid w:val="2107263D"/>
    <w:rsid w:val="213571AA"/>
    <w:rsid w:val="214B077B"/>
    <w:rsid w:val="215D400B"/>
    <w:rsid w:val="21621621"/>
    <w:rsid w:val="21703D3E"/>
    <w:rsid w:val="2173382E"/>
    <w:rsid w:val="21747CD2"/>
    <w:rsid w:val="217A4BBD"/>
    <w:rsid w:val="217D645B"/>
    <w:rsid w:val="218B6DCA"/>
    <w:rsid w:val="219043E0"/>
    <w:rsid w:val="21A41C3A"/>
    <w:rsid w:val="21B00CC4"/>
    <w:rsid w:val="21B207FA"/>
    <w:rsid w:val="21B77BBF"/>
    <w:rsid w:val="21C36564"/>
    <w:rsid w:val="21C83B7A"/>
    <w:rsid w:val="21D57593"/>
    <w:rsid w:val="21D97A24"/>
    <w:rsid w:val="221E379A"/>
    <w:rsid w:val="222F3BF9"/>
    <w:rsid w:val="22434229"/>
    <w:rsid w:val="22456F79"/>
    <w:rsid w:val="22462CF1"/>
    <w:rsid w:val="22680EB9"/>
    <w:rsid w:val="228C104B"/>
    <w:rsid w:val="228D6B72"/>
    <w:rsid w:val="229677D4"/>
    <w:rsid w:val="22A55C69"/>
    <w:rsid w:val="22AA14D2"/>
    <w:rsid w:val="22C73E32"/>
    <w:rsid w:val="22C81958"/>
    <w:rsid w:val="22CA2B57"/>
    <w:rsid w:val="22CA3922"/>
    <w:rsid w:val="22D16A5E"/>
    <w:rsid w:val="22D24584"/>
    <w:rsid w:val="22DB5B2F"/>
    <w:rsid w:val="22E5250A"/>
    <w:rsid w:val="22E569AE"/>
    <w:rsid w:val="22EC0514"/>
    <w:rsid w:val="22FB3ADB"/>
    <w:rsid w:val="230E1A60"/>
    <w:rsid w:val="23377209"/>
    <w:rsid w:val="234D69F8"/>
    <w:rsid w:val="235D6544"/>
    <w:rsid w:val="23614286"/>
    <w:rsid w:val="237C10C0"/>
    <w:rsid w:val="239C706C"/>
    <w:rsid w:val="239F6B5C"/>
    <w:rsid w:val="23A44173"/>
    <w:rsid w:val="23AE6D9F"/>
    <w:rsid w:val="23C87E61"/>
    <w:rsid w:val="23DA7B95"/>
    <w:rsid w:val="23EA427B"/>
    <w:rsid w:val="240864B0"/>
    <w:rsid w:val="24134E54"/>
    <w:rsid w:val="24155071"/>
    <w:rsid w:val="243C084F"/>
    <w:rsid w:val="24457704"/>
    <w:rsid w:val="246163A4"/>
    <w:rsid w:val="246D261D"/>
    <w:rsid w:val="247104F9"/>
    <w:rsid w:val="249B5576"/>
    <w:rsid w:val="24AF7273"/>
    <w:rsid w:val="24B108F5"/>
    <w:rsid w:val="24C148B0"/>
    <w:rsid w:val="24CF6FCD"/>
    <w:rsid w:val="24D665AE"/>
    <w:rsid w:val="24E011DB"/>
    <w:rsid w:val="24E77DC6"/>
    <w:rsid w:val="24E8008F"/>
    <w:rsid w:val="24EC7B7F"/>
    <w:rsid w:val="25007ACF"/>
    <w:rsid w:val="25056E93"/>
    <w:rsid w:val="25270BB7"/>
    <w:rsid w:val="25333A00"/>
    <w:rsid w:val="253B0B07"/>
    <w:rsid w:val="25592D3B"/>
    <w:rsid w:val="255A71DF"/>
    <w:rsid w:val="255B2F57"/>
    <w:rsid w:val="25641E0C"/>
    <w:rsid w:val="256718FC"/>
    <w:rsid w:val="256B669F"/>
    <w:rsid w:val="257300E6"/>
    <w:rsid w:val="257638ED"/>
    <w:rsid w:val="2593624D"/>
    <w:rsid w:val="259C77F7"/>
    <w:rsid w:val="259E1F58"/>
    <w:rsid w:val="259F4BF2"/>
    <w:rsid w:val="25E1345C"/>
    <w:rsid w:val="260809E9"/>
    <w:rsid w:val="26170C2C"/>
    <w:rsid w:val="261849A4"/>
    <w:rsid w:val="261A696E"/>
    <w:rsid w:val="261D1FBA"/>
    <w:rsid w:val="261E645E"/>
    <w:rsid w:val="26217CFD"/>
    <w:rsid w:val="26347A30"/>
    <w:rsid w:val="263B7010"/>
    <w:rsid w:val="26451C3D"/>
    <w:rsid w:val="264B2FCC"/>
    <w:rsid w:val="2661459D"/>
    <w:rsid w:val="2666570F"/>
    <w:rsid w:val="267047E0"/>
    <w:rsid w:val="26753BA5"/>
    <w:rsid w:val="26760048"/>
    <w:rsid w:val="267918E7"/>
    <w:rsid w:val="267B565F"/>
    <w:rsid w:val="2694227D"/>
    <w:rsid w:val="26995AE5"/>
    <w:rsid w:val="269C7383"/>
    <w:rsid w:val="26AA7CF2"/>
    <w:rsid w:val="26CD578F"/>
    <w:rsid w:val="26F92A28"/>
    <w:rsid w:val="270E64D3"/>
    <w:rsid w:val="27286E69"/>
    <w:rsid w:val="272E5D11"/>
    <w:rsid w:val="27337CE7"/>
    <w:rsid w:val="27460D35"/>
    <w:rsid w:val="274C0DA9"/>
    <w:rsid w:val="27673E35"/>
    <w:rsid w:val="277A2770"/>
    <w:rsid w:val="27843941"/>
    <w:rsid w:val="27890C93"/>
    <w:rsid w:val="27906EE8"/>
    <w:rsid w:val="279369D8"/>
    <w:rsid w:val="27952750"/>
    <w:rsid w:val="27994281"/>
    <w:rsid w:val="27AF6A62"/>
    <w:rsid w:val="27CB43C4"/>
    <w:rsid w:val="27EB05C2"/>
    <w:rsid w:val="27ED695F"/>
    <w:rsid w:val="27F136FF"/>
    <w:rsid w:val="27F356C9"/>
    <w:rsid w:val="27FC632B"/>
    <w:rsid w:val="27FD384C"/>
    <w:rsid w:val="28041684"/>
    <w:rsid w:val="28043432"/>
    <w:rsid w:val="28074CD0"/>
    <w:rsid w:val="28137B19"/>
    <w:rsid w:val="28177609"/>
    <w:rsid w:val="2829733C"/>
    <w:rsid w:val="283A32F8"/>
    <w:rsid w:val="285C326E"/>
    <w:rsid w:val="286D547B"/>
    <w:rsid w:val="286D7229"/>
    <w:rsid w:val="286F2FA1"/>
    <w:rsid w:val="28812CD5"/>
    <w:rsid w:val="28814A83"/>
    <w:rsid w:val="28976054"/>
    <w:rsid w:val="28A16ED3"/>
    <w:rsid w:val="28AD1D1C"/>
    <w:rsid w:val="28C64B8B"/>
    <w:rsid w:val="28C66939"/>
    <w:rsid w:val="28D56B7C"/>
    <w:rsid w:val="28DA4193"/>
    <w:rsid w:val="28E219C5"/>
    <w:rsid w:val="28E25251"/>
    <w:rsid w:val="28E374EB"/>
    <w:rsid w:val="28F341AD"/>
    <w:rsid w:val="28F60FCD"/>
    <w:rsid w:val="29050839"/>
    <w:rsid w:val="29051210"/>
    <w:rsid w:val="29086F52"/>
    <w:rsid w:val="291027B7"/>
    <w:rsid w:val="291D0C4F"/>
    <w:rsid w:val="291E49C7"/>
    <w:rsid w:val="292024ED"/>
    <w:rsid w:val="292813A2"/>
    <w:rsid w:val="293B2E83"/>
    <w:rsid w:val="294A756A"/>
    <w:rsid w:val="294E0E09"/>
    <w:rsid w:val="29534671"/>
    <w:rsid w:val="296028EA"/>
    <w:rsid w:val="2964687E"/>
    <w:rsid w:val="2967011C"/>
    <w:rsid w:val="298F31CF"/>
    <w:rsid w:val="299B1B74"/>
    <w:rsid w:val="29A16C2B"/>
    <w:rsid w:val="29A9551B"/>
    <w:rsid w:val="29B11398"/>
    <w:rsid w:val="29B42C36"/>
    <w:rsid w:val="29E01404"/>
    <w:rsid w:val="29E21551"/>
    <w:rsid w:val="29E7300B"/>
    <w:rsid w:val="29E74DB9"/>
    <w:rsid w:val="29FA2D3E"/>
    <w:rsid w:val="2A027E45"/>
    <w:rsid w:val="2A16744D"/>
    <w:rsid w:val="2A314286"/>
    <w:rsid w:val="2A500BB0"/>
    <w:rsid w:val="2A524929"/>
    <w:rsid w:val="2A5266D7"/>
    <w:rsid w:val="2A612DBE"/>
    <w:rsid w:val="2A920BE1"/>
    <w:rsid w:val="2A922F77"/>
    <w:rsid w:val="2A9A007E"/>
    <w:rsid w:val="2A9A62D0"/>
    <w:rsid w:val="2AA232FB"/>
    <w:rsid w:val="2AA91E02"/>
    <w:rsid w:val="2ABE5B1A"/>
    <w:rsid w:val="2AD76BDC"/>
    <w:rsid w:val="2AD92954"/>
    <w:rsid w:val="2AF7102C"/>
    <w:rsid w:val="2B011EAB"/>
    <w:rsid w:val="2B067121"/>
    <w:rsid w:val="2B1B5F51"/>
    <w:rsid w:val="2B2D7144"/>
    <w:rsid w:val="2B34402E"/>
    <w:rsid w:val="2B397896"/>
    <w:rsid w:val="2B3E30FF"/>
    <w:rsid w:val="2B465B0F"/>
    <w:rsid w:val="2B4D1B6C"/>
    <w:rsid w:val="2B536BAA"/>
    <w:rsid w:val="2B563FA5"/>
    <w:rsid w:val="2B65068C"/>
    <w:rsid w:val="2B65243A"/>
    <w:rsid w:val="2B795EE5"/>
    <w:rsid w:val="2B844FB6"/>
    <w:rsid w:val="2B886128"/>
    <w:rsid w:val="2BCA04EF"/>
    <w:rsid w:val="2BCE4483"/>
    <w:rsid w:val="2BD55811"/>
    <w:rsid w:val="2BDA2E28"/>
    <w:rsid w:val="2BDB26FC"/>
    <w:rsid w:val="2C0559CB"/>
    <w:rsid w:val="2C2916B9"/>
    <w:rsid w:val="2C640943"/>
    <w:rsid w:val="2C6D3C9C"/>
    <w:rsid w:val="2C723060"/>
    <w:rsid w:val="2C730B86"/>
    <w:rsid w:val="2C9034E6"/>
    <w:rsid w:val="2C932FD6"/>
    <w:rsid w:val="2C966281"/>
    <w:rsid w:val="2C994A91"/>
    <w:rsid w:val="2CA62D0A"/>
    <w:rsid w:val="2CB573F1"/>
    <w:rsid w:val="2CBA0563"/>
    <w:rsid w:val="2CC47634"/>
    <w:rsid w:val="2CD94E8D"/>
    <w:rsid w:val="2CDA29B3"/>
    <w:rsid w:val="2CE675AA"/>
    <w:rsid w:val="2CFF066C"/>
    <w:rsid w:val="2D02384F"/>
    <w:rsid w:val="2D202ABC"/>
    <w:rsid w:val="2D281971"/>
    <w:rsid w:val="2D3B78F6"/>
    <w:rsid w:val="2D412A32"/>
    <w:rsid w:val="2D430559"/>
    <w:rsid w:val="2D5269EE"/>
    <w:rsid w:val="2D5D19F3"/>
    <w:rsid w:val="2D616C31"/>
    <w:rsid w:val="2D72396F"/>
    <w:rsid w:val="2D880661"/>
    <w:rsid w:val="2D917516"/>
    <w:rsid w:val="2DA90D03"/>
    <w:rsid w:val="2DAA05D8"/>
    <w:rsid w:val="2DB33930"/>
    <w:rsid w:val="2DE27D71"/>
    <w:rsid w:val="2DE7009E"/>
    <w:rsid w:val="2DE7182C"/>
    <w:rsid w:val="2DF0053E"/>
    <w:rsid w:val="2E1D6FFC"/>
    <w:rsid w:val="2E1F0FC6"/>
    <w:rsid w:val="2E2959A0"/>
    <w:rsid w:val="2E2E2FB7"/>
    <w:rsid w:val="2E3031D3"/>
    <w:rsid w:val="2E3D144C"/>
    <w:rsid w:val="2E402CEA"/>
    <w:rsid w:val="2E456552"/>
    <w:rsid w:val="2E4647A4"/>
    <w:rsid w:val="2E536EC1"/>
    <w:rsid w:val="2E7035CF"/>
    <w:rsid w:val="2E7110F5"/>
    <w:rsid w:val="2E913546"/>
    <w:rsid w:val="2EA27501"/>
    <w:rsid w:val="2EAC2E7D"/>
    <w:rsid w:val="2EBF4557"/>
    <w:rsid w:val="2EC9236B"/>
    <w:rsid w:val="2ED973C6"/>
    <w:rsid w:val="2F087E5D"/>
    <w:rsid w:val="2F097580"/>
    <w:rsid w:val="2F1403FE"/>
    <w:rsid w:val="2F1523C9"/>
    <w:rsid w:val="2F266384"/>
    <w:rsid w:val="2F285C58"/>
    <w:rsid w:val="2F350375"/>
    <w:rsid w:val="2F3E547B"/>
    <w:rsid w:val="2F6173BC"/>
    <w:rsid w:val="2F713AA3"/>
    <w:rsid w:val="2F7964B4"/>
    <w:rsid w:val="2F971A4C"/>
    <w:rsid w:val="2F9B0B20"/>
    <w:rsid w:val="2FA21EAE"/>
    <w:rsid w:val="2FD933F6"/>
    <w:rsid w:val="2FE51D9B"/>
    <w:rsid w:val="2FE53B49"/>
    <w:rsid w:val="30030473"/>
    <w:rsid w:val="301B57BD"/>
    <w:rsid w:val="302F1268"/>
    <w:rsid w:val="3034062C"/>
    <w:rsid w:val="30395C43"/>
    <w:rsid w:val="303D1BD7"/>
    <w:rsid w:val="3058256D"/>
    <w:rsid w:val="305E56A9"/>
    <w:rsid w:val="306453B6"/>
    <w:rsid w:val="306929CC"/>
    <w:rsid w:val="306C6018"/>
    <w:rsid w:val="306F78B6"/>
    <w:rsid w:val="30705B08"/>
    <w:rsid w:val="30823A8E"/>
    <w:rsid w:val="30977539"/>
    <w:rsid w:val="30B11C7D"/>
    <w:rsid w:val="30C916BD"/>
    <w:rsid w:val="30E43E01"/>
    <w:rsid w:val="30EE1123"/>
    <w:rsid w:val="30F85AFE"/>
    <w:rsid w:val="30F97AE5"/>
    <w:rsid w:val="310B75DF"/>
    <w:rsid w:val="31317CD5"/>
    <w:rsid w:val="313C59EB"/>
    <w:rsid w:val="315A0567"/>
    <w:rsid w:val="315E0057"/>
    <w:rsid w:val="31615451"/>
    <w:rsid w:val="31660CB9"/>
    <w:rsid w:val="317258B0"/>
    <w:rsid w:val="317E6003"/>
    <w:rsid w:val="31864EB8"/>
    <w:rsid w:val="318850D4"/>
    <w:rsid w:val="31B00187"/>
    <w:rsid w:val="31BB2DB3"/>
    <w:rsid w:val="31D40319"/>
    <w:rsid w:val="31DE6AA2"/>
    <w:rsid w:val="31EF5153"/>
    <w:rsid w:val="32096215"/>
    <w:rsid w:val="320C1861"/>
    <w:rsid w:val="3212499D"/>
    <w:rsid w:val="32144BB9"/>
    <w:rsid w:val="3216448E"/>
    <w:rsid w:val="3220355E"/>
    <w:rsid w:val="32562ADC"/>
    <w:rsid w:val="3264344B"/>
    <w:rsid w:val="32672F3B"/>
    <w:rsid w:val="32747406"/>
    <w:rsid w:val="32747B55"/>
    <w:rsid w:val="328C0BF4"/>
    <w:rsid w:val="3296737C"/>
    <w:rsid w:val="32A001FB"/>
    <w:rsid w:val="32A24C0B"/>
    <w:rsid w:val="32BF4B25"/>
    <w:rsid w:val="32C83002"/>
    <w:rsid w:val="32D87995"/>
    <w:rsid w:val="32E20814"/>
    <w:rsid w:val="32E75E2A"/>
    <w:rsid w:val="3310712F"/>
    <w:rsid w:val="331108DD"/>
    <w:rsid w:val="33182487"/>
    <w:rsid w:val="331A1D5C"/>
    <w:rsid w:val="331C5AD4"/>
    <w:rsid w:val="332B21BB"/>
    <w:rsid w:val="334F40FB"/>
    <w:rsid w:val="335C2374"/>
    <w:rsid w:val="33641229"/>
    <w:rsid w:val="336636C6"/>
    <w:rsid w:val="33664FA1"/>
    <w:rsid w:val="336F209B"/>
    <w:rsid w:val="33704071"/>
    <w:rsid w:val="339A2E9C"/>
    <w:rsid w:val="33A31D51"/>
    <w:rsid w:val="33AB50A9"/>
    <w:rsid w:val="33AD7074"/>
    <w:rsid w:val="33B91574"/>
    <w:rsid w:val="33BE4DDD"/>
    <w:rsid w:val="33D4015C"/>
    <w:rsid w:val="33D60378"/>
    <w:rsid w:val="33FB393B"/>
    <w:rsid w:val="340824FC"/>
    <w:rsid w:val="340D18C0"/>
    <w:rsid w:val="342A4220"/>
    <w:rsid w:val="34337579"/>
    <w:rsid w:val="34425A0E"/>
    <w:rsid w:val="34433534"/>
    <w:rsid w:val="344B7676"/>
    <w:rsid w:val="349252E5"/>
    <w:rsid w:val="34931DC5"/>
    <w:rsid w:val="349B511E"/>
    <w:rsid w:val="34A33DC4"/>
    <w:rsid w:val="34B2711D"/>
    <w:rsid w:val="34B8182C"/>
    <w:rsid w:val="34DE084C"/>
    <w:rsid w:val="34F62C60"/>
    <w:rsid w:val="34FA1E45"/>
    <w:rsid w:val="35064C8D"/>
    <w:rsid w:val="35284C04"/>
    <w:rsid w:val="352B0250"/>
    <w:rsid w:val="35327830"/>
    <w:rsid w:val="35470E02"/>
    <w:rsid w:val="35507B33"/>
    <w:rsid w:val="355A0B35"/>
    <w:rsid w:val="35780FBB"/>
    <w:rsid w:val="357940C4"/>
    <w:rsid w:val="35935DF5"/>
    <w:rsid w:val="35A324DC"/>
    <w:rsid w:val="35B069A7"/>
    <w:rsid w:val="35D5640E"/>
    <w:rsid w:val="35DE3514"/>
    <w:rsid w:val="35E30B2B"/>
    <w:rsid w:val="35F04FF6"/>
    <w:rsid w:val="35F965A0"/>
    <w:rsid w:val="35FC19AA"/>
    <w:rsid w:val="35FE7713"/>
    <w:rsid w:val="36034E7B"/>
    <w:rsid w:val="36107446"/>
    <w:rsid w:val="361458DB"/>
    <w:rsid w:val="36146E6C"/>
    <w:rsid w:val="36170776"/>
    <w:rsid w:val="361C403D"/>
    <w:rsid w:val="362D4537"/>
    <w:rsid w:val="362F5B1E"/>
    <w:rsid w:val="363870C8"/>
    <w:rsid w:val="36484E32"/>
    <w:rsid w:val="364A2958"/>
    <w:rsid w:val="364C66D0"/>
    <w:rsid w:val="366A4DA8"/>
    <w:rsid w:val="367A601A"/>
    <w:rsid w:val="36883480"/>
    <w:rsid w:val="36AA33F6"/>
    <w:rsid w:val="36BB5604"/>
    <w:rsid w:val="36BC622A"/>
    <w:rsid w:val="36CA3A99"/>
    <w:rsid w:val="36CA5847"/>
    <w:rsid w:val="36E7464B"/>
    <w:rsid w:val="36F079A3"/>
    <w:rsid w:val="3700570C"/>
    <w:rsid w:val="370A137B"/>
    <w:rsid w:val="371A4A20"/>
    <w:rsid w:val="37386C54"/>
    <w:rsid w:val="373A0C1E"/>
    <w:rsid w:val="3747333B"/>
    <w:rsid w:val="37503F9E"/>
    <w:rsid w:val="3757357E"/>
    <w:rsid w:val="37585548"/>
    <w:rsid w:val="37695060"/>
    <w:rsid w:val="377A726D"/>
    <w:rsid w:val="37863E63"/>
    <w:rsid w:val="3787198A"/>
    <w:rsid w:val="3790083E"/>
    <w:rsid w:val="3795328A"/>
    <w:rsid w:val="379F6CD3"/>
    <w:rsid w:val="37A4253C"/>
    <w:rsid w:val="37AD13F0"/>
    <w:rsid w:val="37B24C58"/>
    <w:rsid w:val="37B26A07"/>
    <w:rsid w:val="37B3452D"/>
    <w:rsid w:val="37C93D50"/>
    <w:rsid w:val="37DC3A83"/>
    <w:rsid w:val="37ED7A3F"/>
    <w:rsid w:val="38044D88"/>
    <w:rsid w:val="38163439"/>
    <w:rsid w:val="381C47C8"/>
    <w:rsid w:val="381E22EE"/>
    <w:rsid w:val="3825542A"/>
    <w:rsid w:val="383438BF"/>
    <w:rsid w:val="38367638"/>
    <w:rsid w:val="38402264"/>
    <w:rsid w:val="38415FDC"/>
    <w:rsid w:val="384A54F7"/>
    <w:rsid w:val="385A59B7"/>
    <w:rsid w:val="385B709E"/>
    <w:rsid w:val="386046B4"/>
    <w:rsid w:val="38653A79"/>
    <w:rsid w:val="386B4E07"/>
    <w:rsid w:val="387E2D8D"/>
    <w:rsid w:val="3881462B"/>
    <w:rsid w:val="388365F5"/>
    <w:rsid w:val="3884161F"/>
    <w:rsid w:val="388C7258"/>
    <w:rsid w:val="388F0AF6"/>
    <w:rsid w:val="38B13162"/>
    <w:rsid w:val="38C14902"/>
    <w:rsid w:val="38D806EF"/>
    <w:rsid w:val="38DF7CCF"/>
    <w:rsid w:val="38E24385"/>
    <w:rsid w:val="38F1355F"/>
    <w:rsid w:val="38F57254"/>
    <w:rsid w:val="39070FD4"/>
    <w:rsid w:val="390F7E89"/>
    <w:rsid w:val="39184F8F"/>
    <w:rsid w:val="39194863"/>
    <w:rsid w:val="391B112C"/>
    <w:rsid w:val="391B682D"/>
    <w:rsid w:val="392C1878"/>
    <w:rsid w:val="392C53D3"/>
    <w:rsid w:val="39335925"/>
    <w:rsid w:val="393618B9"/>
    <w:rsid w:val="39372876"/>
    <w:rsid w:val="39396CB4"/>
    <w:rsid w:val="39627FB8"/>
    <w:rsid w:val="39663F4D"/>
    <w:rsid w:val="397C3770"/>
    <w:rsid w:val="398919E9"/>
    <w:rsid w:val="39932516"/>
    <w:rsid w:val="399D5494"/>
    <w:rsid w:val="39A405D1"/>
    <w:rsid w:val="39A71E6F"/>
    <w:rsid w:val="39B34CB8"/>
    <w:rsid w:val="39C576F9"/>
    <w:rsid w:val="39F01A68"/>
    <w:rsid w:val="39F4718B"/>
    <w:rsid w:val="3A00614F"/>
    <w:rsid w:val="3A033549"/>
    <w:rsid w:val="3A10640D"/>
    <w:rsid w:val="3A23599A"/>
    <w:rsid w:val="3A370C9B"/>
    <w:rsid w:val="3A3D3154"/>
    <w:rsid w:val="3A6A181A"/>
    <w:rsid w:val="3A6B761A"/>
    <w:rsid w:val="3A881CA1"/>
    <w:rsid w:val="3A8F750B"/>
    <w:rsid w:val="3A920D71"/>
    <w:rsid w:val="3AE710BD"/>
    <w:rsid w:val="3B091033"/>
    <w:rsid w:val="3B223EA3"/>
    <w:rsid w:val="3B3B6D13"/>
    <w:rsid w:val="3B4402BD"/>
    <w:rsid w:val="3B583D69"/>
    <w:rsid w:val="3B5841D5"/>
    <w:rsid w:val="3B5953EB"/>
    <w:rsid w:val="3B5B5607"/>
    <w:rsid w:val="3B691AD2"/>
    <w:rsid w:val="3B693880"/>
    <w:rsid w:val="3B6B584A"/>
    <w:rsid w:val="3B7444A1"/>
    <w:rsid w:val="3B7F12F6"/>
    <w:rsid w:val="3B844B5E"/>
    <w:rsid w:val="3B8C3A12"/>
    <w:rsid w:val="3B950B19"/>
    <w:rsid w:val="3B9B5A04"/>
    <w:rsid w:val="3BA0301A"/>
    <w:rsid w:val="3BC44F5A"/>
    <w:rsid w:val="3BD17677"/>
    <w:rsid w:val="3BF75330"/>
    <w:rsid w:val="3BF82E56"/>
    <w:rsid w:val="3C1D466B"/>
    <w:rsid w:val="3C2D0D52"/>
    <w:rsid w:val="3C3E2F5F"/>
    <w:rsid w:val="3C3F2833"/>
    <w:rsid w:val="3C463BC1"/>
    <w:rsid w:val="3C5C1637"/>
    <w:rsid w:val="3C6A3D54"/>
    <w:rsid w:val="3C77021F"/>
    <w:rsid w:val="3C795D45"/>
    <w:rsid w:val="3C7A386B"/>
    <w:rsid w:val="3C7E335B"/>
    <w:rsid w:val="3C85293C"/>
    <w:rsid w:val="3C9127F8"/>
    <w:rsid w:val="3C991F43"/>
    <w:rsid w:val="3C9E39FD"/>
    <w:rsid w:val="3CA37266"/>
    <w:rsid w:val="3CAA05F4"/>
    <w:rsid w:val="3CC35212"/>
    <w:rsid w:val="3CD1792F"/>
    <w:rsid w:val="3CD236A7"/>
    <w:rsid w:val="3CD613E9"/>
    <w:rsid w:val="3CF74EBC"/>
    <w:rsid w:val="3D093637"/>
    <w:rsid w:val="3D0A05DC"/>
    <w:rsid w:val="3D0C0967"/>
    <w:rsid w:val="3D1141CF"/>
    <w:rsid w:val="3D281519"/>
    <w:rsid w:val="3D3B124C"/>
    <w:rsid w:val="3D4225DB"/>
    <w:rsid w:val="3D45031D"/>
    <w:rsid w:val="3D4E5423"/>
    <w:rsid w:val="3D65276D"/>
    <w:rsid w:val="3D687B67"/>
    <w:rsid w:val="3D6A38DF"/>
    <w:rsid w:val="3D712EC0"/>
    <w:rsid w:val="3D7D1865"/>
    <w:rsid w:val="3D864BBD"/>
    <w:rsid w:val="3D960B78"/>
    <w:rsid w:val="3D9B61CE"/>
    <w:rsid w:val="3DA908AC"/>
    <w:rsid w:val="3DC76F84"/>
    <w:rsid w:val="3DD516A1"/>
    <w:rsid w:val="3DD60F75"/>
    <w:rsid w:val="3DE10046"/>
    <w:rsid w:val="3DE41FCD"/>
    <w:rsid w:val="3DE471F3"/>
    <w:rsid w:val="3DEC0798"/>
    <w:rsid w:val="3DF064DB"/>
    <w:rsid w:val="3E1A70B4"/>
    <w:rsid w:val="3E1F291C"/>
    <w:rsid w:val="3E3D0FF4"/>
    <w:rsid w:val="3E4405D4"/>
    <w:rsid w:val="3E444130"/>
    <w:rsid w:val="3E47455A"/>
    <w:rsid w:val="3E5C76CC"/>
    <w:rsid w:val="3E815385"/>
    <w:rsid w:val="3E8804C1"/>
    <w:rsid w:val="3E950E30"/>
    <w:rsid w:val="3E976956"/>
    <w:rsid w:val="3E990920"/>
    <w:rsid w:val="3E9A6446"/>
    <w:rsid w:val="3E9E1A93"/>
    <w:rsid w:val="3E9F3755"/>
    <w:rsid w:val="3EAD43CC"/>
    <w:rsid w:val="3EC86B10"/>
    <w:rsid w:val="3ED5122D"/>
    <w:rsid w:val="3EDE6333"/>
    <w:rsid w:val="3EED6576"/>
    <w:rsid w:val="3F067638"/>
    <w:rsid w:val="3F0C10F2"/>
    <w:rsid w:val="3F1955BD"/>
    <w:rsid w:val="3F253F62"/>
    <w:rsid w:val="3F3D3951"/>
    <w:rsid w:val="3F5B5BD6"/>
    <w:rsid w:val="3F5D7BA0"/>
    <w:rsid w:val="3F5E7474"/>
    <w:rsid w:val="3F703248"/>
    <w:rsid w:val="3F724CCD"/>
    <w:rsid w:val="3F740A45"/>
    <w:rsid w:val="3F890995"/>
    <w:rsid w:val="3F9335C1"/>
    <w:rsid w:val="3F966C0E"/>
    <w:rsid w:val="3F9966FE"/>
    <w:rsid w:val="3F9B4224"/>
    <w:rsid w:val="3FA255B3"/>
    <w:rsid w:val="3FA806EF"/>
    <w:rsid w:val="3FC65745"/>
    <w:rsid w:val="3FD46CAA"/>
    <w:rsid w:val="3FD61700"/>
    <w:rsid w:val="3FE47979"/>
    <w:rsid w:val="3FEE6A4A"/>
    <w:rsid w:val="400C5122"/>
    <w:rsid w:val="401536AB"/>
    <w:rsid w:val="40183AC7"/>
    <w:rsid w:val="40336D2A"/>
    <w:rsid w:val="40572841"/>
    <w:rsid w:val="40644F5E"/>
    <w:rsid w:val="407451A1"/>
    <w:rsid w:val="4081341A"/>
    <w:rsid w:val="408A49C4"/>
    <w:rsid w:val="408A4C3E"/>
    <w:rsid w:val="40980764"/>
    <w:rsid w:val="40AE7F87"/>
    <w:rsid w:val="40BC26A4"/>
    <w:rsid w:val="40CB6D8B"/>
    <w:rsid w:val="40DA0D7C"/>
    <w:rsid w:val="40DE6ABE"/>
    <w:rsid w:val="40E1210B"/>
    <w:rsid w:val="40EE1307"/>
    <w:rsid w:val="40F40090"/>
    <w:rsid w:val="40FA31CC"/>
    <w:rsid w:val="410F2584"/>
    <w:rsid w:val="411029F0"/>
    <w:rsid w:val="412B393A"/>
    <w:rsid w:val="41306BEE"/>
    <w:rsid w:val="41354204"/>
    <w:rsid w:val="413C37E5"/>
    <w:rsid w:val="414A0832"/>
    <w:rsid w:val="415B1EBD"/>
    <w:rsid w:val="416074D3"/>
    <w:rsid w:val="4162149D"/>
    <w:rsid w:val="41635215"/>
    <w:rsid w:val="416C5E78"/>
    <w:rsid w:val="41790595"/>
    <w:rsid w:val="417C1E33"/>
    <w:rsid w:val="419453CF"/>
    <w:rsid w:val="41BD2B78"/>
    <w:rsid w:val="41D34149"/>
    <w:rsid w:val="41D66AFC"/>
    <w:rsid w:val="41E225DE"/>
    <w:rsid w:val="42003016"/>
    <w:rsid w:val="42022339"/>
    <w:rsid w:val="42075BA1"/>
    <w:rsid w:val="420B38E3"/>
    <w:rsid w:val="422B5D33"/>
    <w:rsid w:val="42366486"/>
    <w:rsid w:val="423A5F76"/>
    <w:rsid w:val="424B3CDF"/>
    <w:rsid w:val="425132C0"/>
    <w:rsid w:val="42554B5E"/>
    <w:rsid w:val="4259593B"/>
    <w:rsid w:val="425A6618"/>
    <w:rsid w:val="425F778B"/>
    <w:rsid w:val="42613BE1"/>
    <w:rsid w:val="42647E8F"/>
    <w:rsid w:val="428B4190"/>
    <w:rsid w:val="42925DB2"/>
    <w:rsid w:val="42937435"/>
    <w:rsid w:val="42997141"/>
    <w:rsid w:val="429A4C67"/>
    <w:rsid w:val="42B2733B"/>
    <w:rsid w:val="42CE4911"/>
    <w:rsid w:val="42DC702D"/>
    <w:rsid w:val="42DD6902"/>
    <w:rsid w:val="42EB7271"/>
    <w:rsid w:val="42F00D2B"/>
    <w:rsid w:val="42F26851"/>
    <w:rsid w:val="43120CA1"/>
    <w:rsid w:val="433C7ACC"/>
    <w:rsid w:val="43721740"/>
    <w:rsid w:val="43727992"/>
    <w:rsid w:val="43747266"/>
    <w:rsid w:val="43762FDE"/>
    <w:rsid w:val="43790D20"/>
    <w:rsid w:val="437D25BE"/>
    <w:rsid w:val="438356FB"/>
    <w:rsid w:val="438A4CDB"/>
    <w:rsid w:val="43994F1E"/>
    <w:rsid w:val="43AA712C"/>
    <w:rsid w:val="43B60A8A"/>
    <w:rsid w:val="43B9736F"/>
    <w:rsid w:val="43C53F65"/>
    <w:rsid w:val="43CD4BC8"/>
    <w:rsid w:val="43D1290A"/>
    <w:rsid w:val="43E22422"/>
    <w:rsid w:val="43E77A38"/>
    <w:rsid w:val="43EC32A0"/>
    <w:rsid w:val="43F839F3"/>
    <w:rsid w:val="440A7BCA"/>
    <w:rsid w:val="441F3676"/>
    <w:rsid w:val="442C18EF"/>
    <w:rsid w:val="44366C11"/>
    <w:rsid w:val="445A645C"/>
    <w:rsid w:val="4464552C"/>
    <w:rsid w:val="447137A5"/>
    <w:rsid w:val="44746AD1"/>
    <w:rsid w:val="44B00772"/>
    <w:rsid w:val="44B33DBE"/>
    <w:rsid w:val="44C304A5"/>
    <w:rsid w:val="44E23A1D"/>
    <w:rsid w:val="44F3065E"/>
    <w:rsid w:val="44F763A1"/>
    <w:rsid w:val="44F92825"/>
    <w:rsid w:val="44F93EC7"/>
    <w:rsid w:val="45012D7B"/>
    <w:rsid w:val="45022062"/>
    <w:rsid w:val="451505D5"/>
    <w:rsid w:val="451579D7"/>
    <w:rsid w:val="452A0524"/>
    <w:rsid w:val="452B7DF8"/>
    <w:rsid w:val="45321187"/>
    <w:rsid w:val="45392515"/>
    <w:rsid w:val="453942C3"/>
    <w:rsid w:val="45572B91"/>
    <w:rsid w:val="45603F46"/>
    <w:rsid w:val="456F5F37"/>
    <w:rsid w:val="45796DB6"/>
    <w:rsid w:val="457C66B9"/>
    <w:rsid w:val="45A858ED"/>
    <w:rsid w:val="45AC0F39"/>
    <w:rsid w:val="45B122E8"/>
    <w:rsid w:val="45C73FC5"/>
    <w:rsid w:val="45CF2E79"/>
    <w:rsid w:val="45D43FEC"/>
    <w:rsid w:val="45D67D64"/>
    <w:rsid w:val="45DD7344"/>
    <w:rsid w:val="45E22BAD"/>
    <w:rsid w:val="4607616F"/>
    <w:rsid w:val="462555ED"/>
    <w:rsid w:val="462C207A"/>
    <w:rsid w:val="463351B6"/>
    <w:rsid w:val="464A2500"/>
    <w:rsid w:val="46501E65"/>
    <w:rsid w:val="465515D1"/>
    <w:rsid w:val="4674757D"/>
    <w:rsid w:val="467632F5"/>
    <w:rsid w:val="46841EB6"/>
    <w:rsid w:val="46A16035"/>
    <w:rsid w:val="46A240EA"/>
    <w:rsid w:val="46A47E62"/>
    <w:rsid w:val="46A9191C"/>
    <w:rsid w:val="46C329DE"/>
    <w:rsid w:val="46C40504"/>
    <w:rsid w:val="46C422B2"/>
    <w:rsid w:val="46C6427C"/>
    <w:rsid w:val="46DA7D28"/>
    <w:rsid w:val="46DB6B62"/>
    <w:rsid w:val="46EC35B7"/>
    <w:rsid w:val="46F54B62"/>
    <w:rsid w:val="47013507"/>
    <w:rsid w:val="4723347D"/>
    <w:rsid w:val="473C62ED"/>
    <w:rsid w:val="47460F19"/>
    <w:rsid w:val="47486A40"/>
    <w:rsid w:val="476A10AC"/>
    <w:rsid w:val="476F66C2"/>
    <w:rsid w:val="47723ABC"/>
    <w:rsid w:val="4779309D"/>
    <w:rsid w:val="47881532"/>
    <w:rsid w:val="479954ED"/>
    <w:rsid w:val="47B04E87"/>
    <w:rsid w:val="47B16CDB"/>
    <w:rsid w:val="47B40579"/>
    <w:rsid w:val="47B642F1"/>
    <w:rsid w:val="47B6609F"/>
    <w:rsid w:val="47BC53FF"/>
    <w:rsid w:val="47DB3D58"/>
    <w:rsid w:val="47E81FD1"/>
    <w:rsid w:val="47F92430"/>
    <w:rsid w:val="48082673"/>
    <w:rsid w:val="480A1F47"/>
    <w:rsid w:val="48284AC3"/>
    <w:rsid w:val="48396CD0"/>
    <w:rsid w:val="484F2050"/>
    <w:rsid w:val="485F6737"/>
    <w:rsid w:val="486024AF"/>
    <w:rsid w:val="48710218"/>
    <w:rsid w:val="4889543F"/>
    <w:rsid w:val="48895562"/>
    <w:rsid w:val="48897310"/>
    <w:rsid w:val="489839F7"/>
    <w:rsid w:val="48BF5427"/>
    <w:rsid w:val="48CE566A"/>
    <w:rsid w:val="48D367DD"/>
    <w:rsid w:val="48E56510"/>
    <w:rsid w:val="48FE648F"/>
    <w:rsid w:val="49016A01"/>
    <w:rsid w:val="490B41C9"/>
    <w:rsid w:val="490D6193"/>
    <w:rsid w:val="49172B6D"/>
    <w:rsid w:val="491F7C74"/>
    <w:rsid w:val="49227764"/>
    <w:rsid w:val="49382AE4"/>
    <w:rsid w:val="493A4AAE"/>
    <w:rsid w:val="49415E3C"/>
    <w:rsid w:val="49423962"/>
    <w:rsid w:val="4948541D"/>
    <w:rsid w:val="49514929"/>
    <w:rsid w:val="49647D7D"/>
    <w:rsid w:val="496D09DF"/>
    <w:rsid w:val="4977185E"/>
    <w:rsid w:val="49816239"/>
    <w:rsid w:val="49961AB2"/>
    <w:rsid w:val="49971F00"/>
    <w:rsid w:val="49997A26"/>
    <w:rsid w:val="49A32F97"/>
    <w:rsid w:val="49AB59AC"/>
    <w:rsid w:val="49AE2DA6"/>
    <w:rsid w:val="49D942C7"/>
    <w:rsid w:val="49FE3D2D"/>
    <w:rsid w:val="4A0155CC"/>
    <w:rsid w:val="4A143551"/>
    <w:rsid w:val="4A1444E3"/>
    <w:rsid w:val="4A174DEF"/>
    <w:rsid w:val="4A370FED"/>
    <w:rsid w:val="4A3B288C"/>
    <w:rsid w:val="4A3D4856"/>
    <w:rsid w:val="4A4756D4"/>
    <w:rsid w:val="4A49144C"/>
    <w:rsid w:val="4A4D5346"/>
    <w:rsid w:val="4A5B3BF0"/>
    <w:rsid w:val="4A6C0C97"/>
    <w:rsid w:val="4A8A55C1"/>
    <w:rsid w:val="4A8A63D2"/>
    <w:rsid w:val="4A9F72BE"/>
    <w:rsid w:val="4AAA7A11"/>
    <w:rsid w:val="4AB10DA0"/>
    <w:rsid w:val="4AB34B18"/>
    <w:rsid w:val="4AB56AE2"/>
    <w:rsid w:val="4ABA40F8"/>
    <w:rsid w:val="4AC05487"/>
    <w:rsid w:val="4AC07235"/>
    <w:rsid w:val="4AC77215"/>
    <w:rsid w:val="4AD351BA"/>
    <w:rsid w:val="4AF313B8"/>
    <w:rsid w:val="4AF33166"/>
    <w:rsid w:val="4AF56EDE"/>
    <w:rsid w:val="4AFB5026"/>
    <w:rsid w:val="4B005883"/>
    <w:rsid w:val="4B007631"/>
    <w:rsid w:val="4B166E55"/>
    <w:rsid w:val="4B1A06F3"/>
    <w:rsid w:val="4B1F21AD"/>
    <w:rsid w:val="4B1F5D09"/>
    <w:rsid w:val="4B245A16"/>
    <w:rsid w:val="4B2E0642"/>
    <w:rsid w:val="4B315A3D"/>
    <w:rsid w:val="4B417C77"/>
    <w:rsid w:val="4B5C0D0B"/>
    <w:rsid w:val="4B663938"/>
    <w:rsid w:val="4B6C4CC7"/>
    <w:rsid w:val="4B702A09"/>
    <w:rsid w:val="4B865D88"/>
    <w:rsid w:val="4B9009B5"/>
    <w:rsid w:val="4B9761E7"/>
    <w:rsid w:val="4BA32DDE"/>
    <w:rsid w:val="4BAE52DF"/>
    <w:rsid w:val="4BBF129A"/>
    <w:rsid w:val="4BC114B6"/>
    <w:rsid w:val="4BD765E4"/>
    <w:rsid w:val="4BEB6533"/>
    <w:rsid w:val="4BF058F8"/>
    <w:rsid w:val="4C0C0983"/>
    <w:rsid w:val="4C141798"/>
    <w:rsid w:val="4C220E23"/>
    <w:rsid w:val="4C286E40"/>
    <w:rsid w:val="4C4A5008"/>
    <w:rsid w:val="4C523EBC"/>
    <w:rsid w:val="4C79769B"/>
    <w:rsid w:val="4C7B3413"/>
    <w:rsid w:val="4C891FD4"/>
    <w:rsid w:val="4C92075D"/>
    <w:rsid w:val="4C9444D5"/>
    <w:rsid w:val="4C96024D"/>
    <w:rsid w:val="4CB42DC9"/>
    <w:rsid w:val="4CB608EF"/>
    <w:rsid w:val="4CC96874"/>
    <w:rsid w:val="4CCF550D"/>
    <w:rsid w:val="4CD11285"/>
    <w:rsid w:val="4CD40D75"/>
    <w:rsid w:val="4D02189A"/>
    <w:rsid w:val="4D1473C4"/>
    <w:rsid w:val="4D1F0243"/>
    <w:rsid w:val="4D2274B7"/>
    <w:rsid w:val="4D2C0BB1"/>
    <w:rsid w:val="4D312A34"/>
    <w:rsid w:val="4D341814"/>
    <w:rsid w:val="4D3442E8"/>
    <w:rsid w:val="4D41465D"/>
    <w:rsid w:val="4D5679DC"/>
    <w:rsid w:val="4D5D0D6B"/>
    <w:rsid w:val="4D714816"/>
    <w:rsid w:val="4D8757B4"/>
    <w:rsid w:val="4D896004"/>
    <w:rsid w:val="4D8C33FE"/>
    <w:rsid w:val="4D8D78A2"/>
    <w:rsid w:val="4D950505"/>
    <w:rsid w:val="4D987FF5"/>
    <w:rsid w:val="4D9A5B1B"/>
    <w:rsid w:val="4DA22C22"/>
    <w:rsid w:val="4DA44BEC"/>
    <w:rsid w:val="4DAB1AD6"/>
    <w:rsid w:val="4DAB5F7A"/>
    <w:rsid w:val="4DBD7A5B"/>
    <w:rsid w:val="4DC13C49"/>
    <w:rsid w:val="4DC52790"/>
    <w:rsid w:val="4DC808DA"/>
    <w:rsid w:val="4DD23507"/>
    <w:rsid w:val="4DDF79D2"/>
    <w:rsid w:val="4DE21743"/>
    <w:rsid w:val="4DF53699"/>
    <w:rsid w:val="4E01203E"/>
    <w:rsid w:val="4E0A20C3"/>
    <w:rsid w:val="4E157897"/>
    <w:rsid w:val="4E1C4782"/>
    <w:rsid w:val="4E1E674C"/>
    <w:rsid w:val="4E261AA5"/>
    <w:rsid w:val="4E2F6BAB"/>
    <w:rsid w:val="4E3C6BD2"/>
    <w:rsid w:val="4E4741A3"/>
    <w:rsid w:val="4E4837C9"/>
    <w:rsid w:val="4E516B22"/>
    <w:rsid w:val="4E8C5DAC"/>
    <w:rsid w:val="4E992277"/>
    <w:rsid w:val="4E9D1D67"/>
    <w:rsid w:val="4EA24A37"/>
    <w:rsid w:val="4EAC3D58"/>
    <w:rsid w:val="4EAD5D22"/>
    <w:rsid w:val="4ECA0682"/>
    <w:rsid w:val="4ED4505D"/>
    <w:rsid w:val="4F112562"/>
    <w:rsid w:val="4F473FD7"/>
    <w:rsid w:val="4F5368C9"/>
    <w:rsid w:val="4F5F526E"/>
    <w:rsid w:val="4F604B42"/>
    <w:rsid w:val="4F6A776F"/>
    <w:rsid w:val="4F756840"/>
    <w:rsid w:val="4F8B3AD8"/>
    <w:rsid w:val="4F936CC6"/>
    <w:rsid w:val="4FB37368"/>
    <w:rsid w:val="4FBD1F95"/>
    <w:rsid w:val="4FDF1F0B"/>
    <w:rsid w:val="4FE6773D"/>
    <w:rsid w:val="4FF736F9"/>
    <w:rsid w:val="50067498"/>
    <w:rsid w:val="500951DA"/>
    <w:rsid w:val="500E4CA2"/>
    <w:rsid w:val="502344EE"/>
    <w:rsid w:val="502913D8"/>
    <w:rsid w:val="50302767"/>
    <w:rsid w:val="50416722"/>
    <w:rsid w:val="5043249A"/>
    <w:rsid w:val="50632B3C"/>
    <w:rsid w:val="5066262C"/>
    <w:rsid w:val="506863A4"/>
    <w:rsid w:val="507408A5"/>
    <w:rsid w:val="50744D49"/>
    <w:rsid w:val="50760AC1"/>
    <w:rsid w:val="507E7976"/>
    <w:rsid w:val="50836D3A"/>
    <w:rsid w:val="50894EDF"/>
    <w:rsid w:val="508A1E77"/>
    <w:rsid w:val="50A23F32"/>
    <w:rsid w:val="50AA2519"/>
    <w:rsid w:val="50AD025B"/>
    <w:rsid w:val="50B25872"/>
    <w:rsid w:val="50BE4216"/>
    <w:rsid w:val="50C7131D"/>
    <w:rsid w:val="50DB0924"/>
    <w:rsid w:val="50E7376D"/>
    <w:rsid w:val="50EC48E0"/>
    <w:rsid w:val="50F11EF6"/>
    <w:rsid w:val="50F7027C"/>
    <w:rsid w:val="50FC292E"/>
    <w:rsid w:val="5100038B"/>
    <w:rsid w:val="51134562"/>
    <w:rsid w:val="511A58F1"/>
    <w:rsid w:val="51312C3A"/>
    <w:rsid w:val="513F7105"/>
    <w:rsid w:val="515F3303"/>
    <w:rsid w:val="51850890"/>
    <w:rsid w:val="519D3E2C"/>
    <w:rsid w:val="51A90A23"/>
    <w:rsid w:val="51BD627C"/>
    <w:rsid w:val="51C13FBE"/>
    <w:rsid w:val="51C15D6C"/>
    <w:rsid w:val="51C55131"/>
    <w:rsid w:val="51DC4954"/>
    <w:rsid w:val="51DD691E"/>
    <w:rsid w:val="51E53FBD"/>
    <w:rsid w:val="51E7154B"/>
    <w:rsid w:val="51F15F26"/>
    <w:rsid w:val="51F24178"/>
    <w:rsid w:val="51F9216A"/>
    <w:rsid w:val="51FE0D6E"/>
    <w:rsid w:val="5209326F"/>
    <w:rsid w:val="520B6FE7"/>
    <w:rsid w:val="52195BA8"/>
    <w:rsid w:val="521A36CE"/>
    <w:rsid w:val="522400A9"/>
    <w:rsid w:val="523429E2"/>
    <w:rsid w:val="523C1897"/>
    <w:rsid w:val="52432C25"/>
    <w:rsid w:val="5246001F"/>
    <w:rsid w:val="52483D98"/>
    <w:rsid w:val="528005E6"/>
    <w:rsid w:val="52AD62F0"/>
    <w:rsid w:val="52B96A43"/>
    <w:rsid w:val="52C553E8"/>
    <w:rsid w:val="52C673B2"/>
    <w:rsid w:val="52F537F4"/>
    <w:rsid w:val="53000B16"/>
    <w:rsid w:val="530F0D59"/>
    <w:rsid w:val="53177C0E"/>
    <w:rsid w:val="531D3476"/>
    <w:rsid w:val="53230361"/>
    <w:rsid w:val="53285977"/>
    <w:rsid w:val="532E5683"/>
    <w:rsid w:val="53334A48"/>
    <w:rsid w:val="5338075A"/>
    <w:rsid w:val="534327B1"/>
    <w:rsid w:val="53513120"/>
    <w:rsid w:val="53716FBF"/>
    <w:rsid w:val="537A2677"/>
    <w:rsid w:val="537D5CC3"/>
    <w:rsid w:val="5386726D"/>
    <w:rsid w:val="53964FD7"/>
    <w:rsid w:val="53A71B94"/>
    <w:rsid w:val="53B316E5"/>
    <w:rsid w:val="53BB2926"/>
    <w:rsid w:val="53C733E2"/>
    <w:rsid w:val="53D224B3"/>
    <w:rsid w:val="53D53D51"/>
    <w:rsid w:val="53E21FCA"/>
    <w:rsid w:val="53E421E6"/>
    <w:rsid w:val="53EB70D0"/>
    <w:rsid w:val="53F35F85"/>
    <w:rsid w:val="53FF492A"/>
    <w:rsid w:val="54053CEB"/>
    <w:rsid w:val="5406215C"/>
    <w:rsid w:val="541F4FCC"/>
    <w:rsid w:val="54216F96"/>
    <w:rsid w:val="54240834"/>
    <w:rsid w:val="542645AC"/>
    <w:rsid w:val="54300F87"/>
    <w:rsid w:val="54316AAD"/>
    <w:rsid w:val="543A1E06"/>
    <w:rsid w:val="54414F42"/>
    <w:rsid w:val="545A72DE"/>
    <w:rsid w:val="546B0211"/>
    <w:rsid w:val="54751090"/>
    <w:rsid w:val="547D4EE1"/>
    <w:rsid w:val="5486504B"/>
    <w:rsid w:val="54994D7E"/>
    <w:rsid w:val="549A0AF6"/>
    <w:rsid w:val="549C661D"/>
    <w:rsid w:val="54A0435F"/>
    <w:rsid w:val="54A24918"/>
    <w:rsid w:val="54B35714"/>
    <w:rsid w:val="54B55930"/>
    <w:rsid w:val="54D538DD"/>
    <w:rsid w:val="54DC4C6B"/>
    <w:rsid w:val="54E90592"/>
    <w:rsid w:val="54F00716"/>
    <w:rsid w:val="55142657"/>
    <w:rsid w:val="551D59AF"/>
    <w:rsid w:val="55211ED2"/>
    <w:rsid w:val="55256612"/>
    <w:rsid w:val="55363F72"/>
    <w:rsid w:val="55384597"/>
    <w:rsid w:val="553E1482"/>
    <w:rsid w:val="5540169E"/>
    <w:rsid w:val="555416F1"/>
    <w:rsid w:val="55564A1D"/>
    <w:rsid w:val="55782BE6"/>
    <w:rsid w:val="557B0928"/>
    <w:rsid w:val="55943798"/>
    <w:rsid w:val="55985036"/>
    <w:rsid w:val="55CA0F67"/>
    <w:rsid w:val="55CF47D0"/>
    <w:rsid w:val="56024BA5"/>
    <w:rsid w:val="561A5A4B"/>
    <w:rsid w:val="563B3C13"/>
    <w:rsid w:val="564451BE"/>
    <w:rsid w:val="56446F6C"/>
    <w:rsid w:val="56576C9F"/>
    <w:rsid w:val="56582A17"/>
    <w:rsid w:val="565D002E"/>
    <w:rsid w:val="565E627F"/>
    <w:rsid w:val="56622903"/>
    <w:rsid w:val="56665134"/>
    <w:rsid w:val="56690780"/>
    <w:rsid w:val="566969D2"/>
    <w:rsid w:val="567333AD"/>
    <w:rsid w:val="567D422C"/>
    <w:rsid w:val="56892BD1"/>
    <w:rsid w:val="5689497F"/>
    <w:rsid w:val="568A7075"/>
    <w:rsid w:val="56A33C92"/>
    <w:rsid w:val="56A54BEB"/>
    <w:rsid w:val="56AD6428"/>
    <w:rsid w:val="56B20379"/>
    <w:rsid w:val="56B75990"/>
    <w:rsid w:val="56D46542"/>
    <w:rsid w:val="56D7393C"/>
    <w:rsid w:val="56E524FD"/>
    <w:rsid w:val="56E878F7"/>
    <w:rsid w:val="56FC15F5"/>
    <w:rsid w:val="56FE711B"/>
    <w:rsid w:val="57034731"/>
    <w:rsid w:val="570A5ABF"/>
    <w:rsid w:val="570D55B0"/>
    <w:rsid w:val="571406EC"/>
    <w:rsid w:val="572F5526"/>
    <w:rsid w:val="57340D8E"/>
    <w:rsid w:val="573C7D28"/>
    <w:rsid w:val="5746661C"/>
    <w:rsid w:val="57476D14"/>
    <w:rsid w:val="575767FA"/>
    <w:rsid w:val="575810A7"/>
    <w:rsid w:val="57672F12"/>
    <w:rsid w:val="57743881"/>
    <w:rsid w:val="577E46FF"/>
    <w:rsid w:val="57802226"/>
    <w:rsid w:val="57905FE5"/>
    <w:rsid w:val="579B705F"/>
    <w:rsid w:val="57A04676"/>
    <w:rsid w:val="57BB500C"/>
    <w:rsid w:val="57C57C38"/>
    <w:rsid w:val="57D367F9"/>
    <w:rsid w:val="57EA58F1"/>
    <w:rsid w:val="57FD3876"/>
    <w:rsid w:val="58061765"/>
    <w:rsid w:val="580A3E39"/>
    <w:rsid w:val="58112E7E"/>
    <w:rsid w:val="58353010"/>
    <w:rsid w:val="58354DBE"/>
    <w:rsid w:val="583707F7"/>
    <w:rsid w:val="58586CFE"/>
    <w:rsid w:val="585A65D3"/>
    <w:rsid w:val="58644BBE"/>
    <w:rsid w:val="58773629"/>
    <w:rsid w:val="58871392"/>
    <w:rsid w:val="589307F0"/>
    <w:rsid w:val="58937D37"/>
    <w:rsid w:val="589F492D"/>
    <w:rsid w:val="58A27F7A"/>
    <w:rsid w:val="58A61818"/>
    <w:rsid w:val="58AB5080"/>
    <w:rsid w:val="58D44953"/>
    <w:rsid w:val="58D740C7"/>
    <w:rsid w:val="58D97E3F"/>
    <w:rsid w:val="58DA7713"/>
    <w:rsid w:val="58FC1D80"/>
    <w:rsid w:val="59097FF9"/>
    <w:rsid w:val="59140E77"/>
    <w:rsid w:val="591643C1"/>
    <w:rsid w:val="59174A25"/>
    <w:rsid w:val="59246BE1"/>
    <w:rsid w:val="592A069B"/>
    <w:rsid w:val="592B61C1"/>
    <w:rsid w:val="59343E2C"/>
    <w:rsid w:val="59345076"/>
    <w:rsid w:val="593C03CE"/>
    <w:rsid w:val="594A6647"/>
    <w:rsid w:val="595E0345"/>
    <w:rsid w:val="59684D1F"/>
    <w:rsid w:val="59701E26"/>
    <w:rsid w:val="5991071A"/>
    <w:rsid w:val="599975CF"/>
    <w:rsid w:val="59AD307A"/>
    <w:rsid w:val="59AF0BA0"/>
    <w:rsid w:val="59C7413C"/>
    <w:rsid w:val="59D10B16"/>
    <w:rsid w:val="59F100A9"/>
    <w:rsid w:val="59F760A3"/>
    <w:rsid w:val="5A025174"/>
    <w:rsid w:val="5A0802B0"/>
    <w:rsid w:val="5A0C1B4F"/>
    <w:rsid w:val="5A160C1F"/>
    <w:rsid w:val="5A166E71"/>
    <w:rsid w:val="5A184997"/>
    <w:rsid w:val="5A1D0200"/>
    <w:rsid w:val="5A2E5F69"/>
    <w:rsid w:val="5A307F33"/>
    <w:rsid w:val="5A3B2434"/>
    <w:rsid w:val="5A427C66"/>
    <w:rsid w:val="5A44578C"/>
    <w:rsid w:val="5A47527D"/>
    <w:rsid w:val="5A601E9A"/>
    <w:rsid w:val="5A6279C1"/>
    <w:rsid w:val="5A821E11"/>
    <w:rsid w:val="5A8B33BB"/>
    <w:rsid w:val="5AB26B9A"/>
    <w:rsid w:val="5AB87F28"/>
    <w:rsid w:val="5ABC17C7"/>
    <w:rsid w:val="5AC71F19"/>
    <w:rsid w:val="5ACB6734"/>
    <w:rsid w:val="5ADF3707"/>
    <w:rsid w:val="5AE76118"/>
    <w:rsid w:val="5AF947C9"/>
    <w:rsid w:val="5AF96577"/>
    <w:rsid w:val="5B0171D9"/>
    <w:rsid w:val="5B044F1C"/>
    <w:rsid w:val="5B060C94"/>
    <w:rsid w:val="5B0D5B7E"/>
    <w:rsid w:val="5B0E7B48"/>
    <w:rsid w:val="5B24111A"/>
    <w:rsid w:val="5B264E92"/>
    <w:rsid w:val="5B2D7FCE"/>
    <w:rsid w:val="5B5419FF"/>
    <w:rsid w:val="5B745BFD"/>
    <w:rsid w:val="5B8874CC"/>
    <w:rsid w:val="5B922527"/>
    <w:rsid w:val="5BA02E96"/>
    <w:rsid w:val="5BC00E43"/>
    <w:rsid w:val="5BC14BBB"/>
    <w:rsid w:val="5BC56459"/>
    <w:rsid w:val="5BCC5A39"/>
    <w:rsid w:val="5BCD355F"/>
    <w:rsid w:val="5BD42B40"/>
    <w:rsid w:val="5BDD7C46"/>
    <w:rsid w:val="5BEC60DC"/>
    <w:rsid w:val="5BEC7E8A"/>
    <w:rsid w:val="5BF46D3E"/>
    <w:rsid w:val="5BF5103B"/>
    <w:rsid w:val="5C0A47B4"/>
    <w:rsid w:val="5C225659"/>
    <w:rsid w:val="5C451348"/>
    <w:rsid w:val="5C455FC2"/>
    <w:rsid w:val="5C677510"/>
    <w:rsid w:val="5C68135C"/>
    <w:rsid w:val="5C6E089F"/>
    <w:rsid w:val="5CAE15E3"/>
    <w:rsid w:val="5CB0535B"/>
    <w:rsid w:val="5CBE327B"/>
    <w:rsid w:val="5CC20BEA"/>
    <w:rsid w:val="5CD32DF8"/>
    <w:rsid w:val="5CD66444"/>
    <w:rsid w:val="5CDC1CAC"/>
    <w:rsid w:val="5CEE7C31"/>
    <w:rsid w:val="5CFA0384"/>
    <w:rsid w:val="5D066D29"/>
    <w:rsid w:val="5D101956"/>
    <w:rsid w:val="5D177188"/>
    <w:rsid w:val="5D395350"/>
    <w:rsid w:val="5D5E4DB7"/>
    <w:rsid w:val="5D6121B1"/>
    <w:rsid w:val="5D731EE5"/>
    <w:rsid w:val="5D8365CC"/>
    <w:rsid w:val="5D900CE9"/>
    <w:rsid w:val="5D9E3405"/>
    <w:rsid w:val="5DA30A1C"/>
    <w:rsid w:val="5DAA1DAA"/>
    <w:rsid w:val="5DD010E5"/>
    <w:rsid w:val="5DD47899"/>
    <w:rsid w:val="5DDC3F2E"/>
    <w:rsid w:val="5DED613B"/>
    <w:rsid w:val="5DF30202"/>
    <w:rsid w:val="5DF41277"/>
    <w:rsid w:val="5DF50B4C"/>
    <w:rsid w:val="5DFD390B"/>
    <w:rsid w:val="5E0019CA"/>
    <w:rsid w:val="5E1256B1"/>
    <w:rsid w:val="5E1D07CE"/>
    <w:rsid w:val="5E2751A9"/>
    <w:rsid w:val="5E2A6071"/>
    <w:rsid w:val="5E343D6A"/>
    <w:rsid w:val="5E361A1F"/>
    <w:rsid w:val="5E3700EB"/>
    <w:rsid w:val="5E391380"/>
    <w:rsid w:val="5E5F0DE7"/>
    <w:rsid w:val="5E714676"/>
    <w:rsid w:val="5E875C48"/>
    <w:rsid w:val="5E897C12"/>
    <w:rsid w:val="5E8C7702"/>
    <w:rsid w:val="5E960581"/>
    <w:rsid w:val="5E963007"/>
    <w:rsid w:val="5EA902B4"/>
    <w:rsid w:val="5EBA426F"/>
    <w:rsid w:val="5ED6097D"/>
    <w:rsid w:val="5EE27322"/>
    <w:rsid w:val="5EF157B7"/>
    <w:rsid w:val="5EFF1C82"/>
    <w:rsid w:val="5F076D88"/>
    <w:rsid w:val="5F083E77"/>
    <w:rsid w:val="5F261904"/>
    <w:rsid w:val="5F357D99"/>
    <w:rsid w:val="5F3A715E"/>
    <w:rsid w:val="5F3B463C"/>
    <w:rsid w:val="5F487ACD"/>
    <w:rsid w:val="5F4E6765"/>
    <w:rsid w:val="5F6146EB"/>
    <w:rsid w:val="5F697A43"/>
    <w:rsid w:val="5F702B80"/>
    <w:rsid w:val="5F8B5C0B"/>
    <w:rsid w:val="5F8F74AA"/>
    <w:rsid w:val="5FAD7930"/>
    <w:rsid w:val="5FBE1B3D"/>
    <w:rsid w:val="5FC829BC"/>
    <w:rsid w:val="5FD15781"/>
    <w:rsid w:val="5FD44EBD"/>
    <w:rsid w:val="5FD749AD"/>
    <w:rsid w:val="5FE84E0C"/>
    <w:rsid w:val="5FF24D49"/>
    <w:rsid w:val="5FF4730D"/>
    <w:rsid w:val="601036FA"/>
    <w:rsid w:val="602C2F4B"/>
    <w:rsid w:val="604069F6"/>
    <w:rsid w:val="60563B24"/>
    <w:rsid w:val="60567FC7"/>
    <w:rsid w:val="605D3104"/>
    <w:rsid w:val="605E50CE"/>
    <w:rsid w:val="60681AA9"/>
    <w:rsid w:val="60791F08"/>
    <w:rsid w:val="6089214B"/>
    <w:rsid w:val="608A5EC3"/>
    <w:rsid w:val="608C5797"/>
    <w:rsid w:val="609E371C"/>
    <w:rsid w:val="60A725D1"/>
    <w:rsid w:val="60B30F76"/>
    <w:rsid w:val="60B83D2E"/>
    <w:rsid w:val="60C90799"/>
    <w:rsid w:val="60CF38D6"/>
    <w:rsid w:val="60D21520"/>
    <w:rsid w:val="60DA29A7"/>
    <w:rsid w:val="60EC092C"/>
    <w:rsid w:val="60FF240D"/>
    <w:rsid w:val="612105D5"/>
    <w:rsid w:val="61227EAA"/>
    <w:rsid w:val="61243C22"/>
    <w:rsid w:val="613025C6"/>
    <w:rsid w:val="614442C4"/>
    <w:rsid w:val="614C4F26"/>
    <w:rsid w:val="6166248C"/>
    <w:rsid w:val="61734BA9"/>
    <w:rsid w:val="617F70AA"/>
    <w:rsid w:val="61826B9A"/>
    <w:rsid w:val="61972646"/>
    <w:rsid w:val="61AB4343"/>
    <w:rsid w:val="61AB7E9F"/>
    <w:rsid w:val="61B054B5"/>
    <w:rsid w:val="61C13B66"/>
    <w:rsid w:val="61C3343B"/>
    <w:rsid w:val="61DA69D6"/>
    <w:rsid w:val="61F47A98"/>
    <w:rsid w:val="61F93300"/>
    <w:rsid w:val="62065A1D"/>
    <w:rsid w:val="62091D0A"/>
    <w:rsid w:val="622A5268"/>
    <w:rsid w:val="622F0AD0"/>
    <w:rsid w:val="623B7475"/>
    <w:rsid w:val="623E51B7"/>
    <w:rsid w:val="62404C50"/>
    <w:rsid w:val="624327CD"/>
    <w:rsid w:val="62662018"/>
    <w:rsid w:val="626A5FAC"/>
    <w:rsid w:val="62764951"/>
    <w:rsid w:val="62A0377C"/>
    <w:rsid w:val="62A3276E"/>
    <w:rsid w:val="62AF7E63"/>
    <w:rsid w:val="62BC7E8A"/>
    <w:rsid w:val="62C21944"/>
    <w:rsid w:val="62CE02E9"/>
    <w:rsid w:val="62DA4EE0"/>
    <w:rsid w:val="62DF528F"/>
    <w:rsid w:val="62F31AFE"/>
    <w:rsid w:val="62FD0BCE"/>
    <w:rsid w:val="62FE04A2"/>
    <w:rsid w:val="6300246C"/>
    <w:rsid w:val="63234928"/>
    <w:rsid w:val="63352116"/>
    <w:rsid w:val="633914DA"/>
    <w:rsid w:val="634C3904"/>
    <w:rsid w:val="63741A87"/>
    <w:rsid w:val="637F3391"/>
    <w:rsid w:val="638C3D00"/>
    <w:rsid w:val="6393508F"/>
    <w:rsid w:val="63936E3D"/>
    <w:rsid w:val="63B374DF"/>
    <w:rsid w:val="63D062E3"/>
    <w:rsid w:val="63D80CF3"/>
    <w:rsid w:val="63DA4A6C"/>
    <w:rsid w:val="63E61662"/>
    <w:rsid w:val="63E92F01"/>
    <w:rsid w:val="64063AB3"/>
    <w:rsid w:val="640D6BEF"/>
    <w:rsid w:val="64104931"/>
    <w:rsid w:val="64124205"/>
    <w:rsid w:val="6414559E"/>
    <w:rsid w:val="641C5084"/>
    <w:rsid w:val="64202DC6"/>
    <w:rsid w:val="64281C7B"/>
    <w:rsid w:val="64325B34"/>
    <w:rsid w:val="64412D3D"/>
    <w:rsid w:val="64416899"/>
    <w:rsid w:val="6445282D"/>
    <w:rsid w:val="64504D2E"/>
    <w:rsid w:val="6468651B"/>
    <w:rsid w:val="647E5D3F"/>
    <w:rsid w:val="6486074F"/>
    <w:rsid w:val="648A6492"/>
    <w:rsid w:val="6492262F"/>
    <w:rsid w:val="64925346"/>
    <w:rsid w:val="64B80EDA"/>
    <w:rsid w:val="64B81251"/>
    <w:rsid w:val="64B90B25"/>
    <w:rsid w:val="64E738E4"/>
    <w:rsid w:val="64E831B8"/>
    <w:rsid w:val="64F14763"/>
    <w:rsid w:val="64FE29DC"/>
    <w:rsid w:val="65071890"/>
    <w:rsid w:val="65085FD9"/>
    <w:rsid w:val="65130235"/>
    <w:rsid w:val="652266CA"/>
    <w:rsid w:val="65273CE0"/>
    <w:rsid w:val="652F2B95"/>
    <w:rsid w:val="65363A69"/>
    <w:rsid w:val="654523B9"/>
    <w:rsid w:val="6546685C"/>
    <w:rsid w:val="655673A6"/>
    <w:rsid w:val="657B15F3"/>
    <w:rsid w:val="65827169"/>
    <w:rsid w:val="65863345"/>
    <w:rsid w:val="659956BB"/>
    <w:rsid w:val="659B022A"/>
    <w:rsid w:val="65A2780B"/>
    <w:rsid w:val="65A45331"/>
    <w:rsid w:val="65A96DEB"/>
    <w:rsid w:val="65AB4911"/>
    <w:rsid w:val="65BB267B"/>
    <w:rsid w:val="65BD2897"/>
    <w:rsid w:val="65C92FEA"/>
    <w:rsid w:val="65E120E1"/>
    <w:rsid w:val="6603474E"/>
    <w:rsid w:val="660B3602"/>
    <w:rsid w:val="661701F9"/>
    <w:rsid w:val="66240220"/>
    <w:rsid w:val="66304E17"/>
    <w:rsid w:val="663F32AC"/>
    <w:rsid w:val="663F505A"/>
    <w:rsid w:val="6646288C"/>
    <w:rsid w:val="666845B1"/>
    <w:rsid w:val="666A657B"/>
    <w:rsid w:val="667E3DD4"/>
    <w:rsid w:val="669E4476"/>
    <w:rsid w:val="66A55805"/>
    <w:rsid w:val="66AB26EF"/>
    <w:rsid w:val="66AF0431"/>
    <w:rsid w:val="66BB5028"/>
    <w:rsid w:val="66CC2D91"/>
    <w:rsid w:val="66E53E53"/>
    <w:rsid w:val="66F44096"/>
    <w:rsid w:val="66F75934"/>
    <w:rsid w:val="67002A3B"/>
    <w:rsid w:val="670C13E0"/>
    <w:rsid w:val="670E1A3D"/>
    <w:rsid w:val="671464E6"/>
    <w:rsid w:val="673152EA"/>
    <w:rsid w:val="67424E02"/>
    <w:rsid w:val="677076BF"/>
    <w:rsid w:val="67801A9E"/>
    <w:rsid w:val="67801DCE"/>
    <w:rsid w:val="6784366C"/>
    <w:rsid w:val="678C0773"/>
    <w:rsid w:val="678C2521"/>
    <w:rsid w:val="679338AF"/>
    <w:rsid w:val="67BF46A4"/>
    <w:rsid w:val="67E1461B"/>
    <w:rsid w:val="67E73BFB"/>
    <w:rsid w:val="68282249"/>
    <w:rsid w:val="683010FE"/>
    <w:rsid w:val="68330BEE"/>
    <w:rsid w:val="68336092"/>
    <w:rsid w:val="68525518"/>
    <w:rsid w:val="685C1EF3"/>
    <w:rsid w:val="68802085"/>
    <w:rsid w:val="688356D2"/>
    <w:rsid w:val="68945B31"/>
    <w:rsid w:val="689E42BA"/>
    <w:rsid w:val="68AB4C28"/>
    <w:rsid w:val="68AD274F"/>
    <w:rsid w:val="68B00491"/>
    <w:rsid w:val="68B43ADD"/>
    <w:rsid w:val="68B57855"/>
    <w:rsid w:val="68BA4E6C"/>
    <w:rsid w:val="68BD63D4"/>
    <w:rsid w:val="68CA3301"/>
    <w:rsid w:val="68CA77A4"/>
    <w:rsid w:val="68E02B24"/>
    <w:rsid w:val="68E03FDF"/>
    <w:rsid w:val="68E343C2"/>
    <w:rsid w:val="68EF720B"/>
    <w:rsid w:val="68F95994"/>
    <w:rsid w:val="690305C1"/>
    <w:rsid w:val="69224EEB"/>
    <w:rsid w:val="69362744"/>
    <w:rsid w:val="693764BC"/>
    <w:rsid w:val="69586B5E"/>
    <w:rsid w:val="695A0B28"/>
    <w:rsid w:val="69603C65"/>
    <w:rsid w:val="696848C8"/>
    <w:rsid w:val="696F5C56"/>
    <w:rsid w:val="69780FAF"/>
    <w:rsid w:val="69825989"/>
    <w:rsid w:val="698F557F"/>
    <w:rsid w:val="69A02CFF"/>
    <w:rsid w:val="69A2602B"/>
    <w:rsid w:val="69AA4EE0"/>
    <w:rsid w:val="69E20B1E"/>
    <w:rsid w:val="69F34AD9"/>
    <w:rsid w:val="69FF347E"/>
    <w:rsid w:val="6A0445F0"/>
    <w:rsid w:val="6A1A02B8"/>
    <w:rsid w:val="6A266C5C"/>
    <w:rsid w:val="6A3B3D8A"/>
    <w:rsid w:val="6A415844"/>
    <w:rsid w:val="6A4A11D7"/>
    <w:rsid w:val="6A4E7F61"/>
    <w:rsid w:val="6A641533"/>
    <w:rsid w:val="6A6642F8"/>
    <w:rsid w:val="6A7259FE"/>
    <w:rsid w:val="6A794FDE"/>
    <w:rsid w:val="6A955B90"/>
    <w:rsid w:val="6A9736B6"/>
    <w:rsid w:val="6AA87672"/>
    <w:rsid w:val="6AAB0F10"/>
    <w:rsid w:val="6AB55F1F"/>
    <w:rsid w:val="6AB9187F"/>
    <w:rsid w:val="6AC02C0D"/>
    <w:rsid w:val="6AC124E1"/>
    <w:rsid w:val="6AC16985"/>
    <w:rsid w:val="6AC975E8"/>
    <w:rsid w:val="6AE82164"/>
    <w:rsid w:val="6AEA7C8A"/>
    <w:rsid w:val="6AEF704E"/>
    <w:rsid w:val="6B0F76F1"/>
    <w:rsid w:val="6B1271E1"/>
    <w:rsid w:val="6B136FFE"/>
    <w:rsid w:val="6B2313EE"/>
    <w:rsid w:val="6B2B3DFF"/>
    <w:rsid w:val="6B3E3B32"/>
    <w:rsid w:val="6B405AFC"/>
    <w:rsid w:val="6B424262"/>
    <w:rsid w:val="6B43739A"/>
    <w:rsid w:val="6B451364"/>
    <w:rsid w:val="6B480E55"/>
    <w:rsid w:val="6B560E7C"/>
    <w:rsid w:val="6B67752D"/>
    <w:rsid w:val="6B6A4927"/>
    <w:rsid w:val="6B882FFF"/>
    <w:rsid w:val="6B9919CE"/>
    <w:rsid w:val="6BAF2C82"/>
    <w:rsid w:val="6BCC7390"/>
    <w:rsid w:val="6BE96194"/>
    <w:rsid w:val="6BF15048"/>
    <w:rsid w:val="6C022DB1"/>
    <w:rsid w:val="6C0528A2"/>
    <w:rsid w:val="6C180827"/>
    <w:rsid w:val="6C1A459F"/>
    <w:rsid w:val="6C256AA0"/>
    <w:rsid w:val="6C2947E2"/>
    <w:rsid w:val="6C474C68"/>
    <w:rsid w:val="6C6B6BA9"/>
    <w:rsid w:val="6C711CE5"/>
    <w:rsid w:val="6C72358B"/>
    <w:rsid w:val="6C77554D"/>
    <w:rsid w:val="6C88775B"/>
    <w:rsid w:val="6C8C747A"/>
    <w:rsid w:val="6C924135"/>
    <w:rsid w:val="6CAE2F39"/>
    <w:rsid w:val="6CC30793"/>
    <w:rsid w:val="6CC664D5"/>
    <w:rsid w:val="6CC87B57"/>
    <w:rsid w:val="6CD52274"/>
    <w:rsid w:val="6CD752BD"/>
    <w:rsid w:val="6CE64481"/>
    <w:rsid w:val="6CF03552"/>
    <w:rsid w:val="6CFC1EF7"/>
    <w:rsid w:val="6CFE7A1D"/>
    <w:rsid w:val="6D176D30"/>
    <w:rsid w:val="6D1A412B"/>
    <w:rsid w:val="6D30394E"/>
    <w:rsid w:val="6D463172"/>
    <w:rsid w:val="6D5C2995"/>
    <w:rsid w:val="6D7101EF"/>
    <w:rsid w:val="6D723F67"/>
    <w:rsid w:val="6D7B2E1B"/>
    <w:rsid w:val="6D82064E"/>
    <w:rsid w:val="6DA305C4"/>
    <w:rsid w:val="6DB4457F"/>
    <w:rsid w:val="6DD644F6"/>
    <w:rsid w:val="6DDE33AA"/>
    <w:rsid w:val="6DE309C1"/>
    <w:rsid w:val="6DF130DE"/>
    <w:rsid w:val="6DF40E20"/>
    <w:rsid w:val="6DF42BCE"/>
    <w:rsid w:val="6E05302D"/>
    <w:rsid w:val="6E1A3E0B"/>
    <w:rsid w:val="6E1B45FE"/>
    <w:rsid w:val="6E557B10"/>
    <w:rsid w:val="6E661D1D"/>
    <w:rsid w:val="6E6B2E90"/>
    <w:rsid w:val="6E873A42"/>
    <w:rsid w:val="6E8757F0"/>
    <w:rsid w:val="6E963C85"/>
    <w:rsid w:val="6EA2087C"/>
    <w:rsid w:val="6EA3519D"/>
    <w:rsid w:val="6EAB7730"/>
    <w:rsid w:val="6ED0363B"/>
    <w:rsid w:val="6EDB2F69"/>
    <w:rsid w:val="6EDC3D8E"/>
    <w:rsid w:val="6EDF387E"/>
    <w:rsid w:val="6EF8049C"/>
    <w:rsid w:val="6EFC61DE"/>
    <w:rsid w:val="6F045092"/>
    <w:rsid w:val="6F0926A9"/>
    <w:rsid w:val="6F3911E0"/>
    <w:rsid w:val="6F3E2352"/>
    <w:rsid w:val="6F40431D"/>
    <w:rsid w:val="6F410095"/>
    <w:rsid w:val="6F575200"/>
    <w:rsid w:val="6F5E29F5"/>
    <w:rsid w:val="6F6A3147"/>
    <w:rsid w:val="6F6A708B"/>
    <w:rsid w:val="6F6D0E8A"/>
    <w:rsid w:val="6F887A72"/>
    <w:rsid w:val="6FA83C70"/>
    <w:rsid w:val="6FAD572A"/>
    <w:rsid w:val="6FB10D76"/>
    <w:rsid w:val="6FC50CC6"/>
    <w:rsid w:val="700F3CEF"/>
    <w:rsid w:val="701B08E6"/>
    <w:rsid w:val="702F6FF3"/>
    <w:rsid w:val="703A7A12"/>
    <w:rsid w:val="705160B5"/>
    <w:rsid w:val="705D4A5A"/>
    <w:rsid w:val="706C1141"/>
    <w:rsid w:val="707A1AB0"/>
    <w:rsid w:val="70812E3F"/>
    <w:rsid w:val="70860455"/>
    <w:rsid w:val="708741CD"/>
    <w:rsid w:val="70950698"/>
    <w:rsid w:val="70980188"/>
    <w:rsid w:val="70AB1B08"/>
    <w:rsid w:val="70AB1C6A"/>
    <w:rsid w:val="70BA3C5B"/>
    <w:rsid w:val="70CD7E32"/>
    <w:rsid w:val="70D6480D"/>
    <w:rsid w:val="70ED2282"/>
    <w:rsid w:val="70F21646"/>
    <w:rsid w:val="71031AA6"/>
    <w:rsid w:val="710B095A"/>
    <w:rsid w:val="710D46D2"/>
    <w:rsid w:val="710E3FA6"/>
    <w:rsid w:val="7113780F"/>
    <w:rsid w:val="712505BB"/>
    <w:rsid w:val="7128150C"/>
    <w:rsid w:val="713779A1"/>
    <w:rsid w:val="71445C1A"/>
    <w:rsid w:val="715045BF"/>
    <w:rsid w:val="71630796"/>
    <w:rsid w:val="71724535"/>
    <w:rsid w:val="71752277"/>
    <w:rsid w:val="71935F0F"/>
    <w:rsid w:val="71946BA2"/>
    <w:rsid w:val="71A566B9"/>
    <w:rsid w:val="71B40FF2"/>
    <w:rsid w:val="71BC3A02"/>
    <w:rsid w:val="71DE1BCB"/>
    <w:rsid w:val="71E511AB"/>
    <w:rsid w:val="71E60A7F"/>
    <w:rsid w:val="71EF3DD8"/>
    <w:rsid w:val="71F80EDE"/>
    <w:rsid w:val="72071122"/>
    <w:rsid w:val="72141497"/>
    <w:rsid w:val="72141A90"/>
    <w:rsid w:val="72231CD3"/>
    <w:rsid w:val="724C4D86"/>
    <w:rsid w:val="725E2D0C"/>
    <w:rsid w:val="727442DD"/>
    <w:rsid w:val="728269FA"/>
    <w:rsid w:val="72850177"/>
    <w:rsid w:val="728E5558"/>
    <w:rsid w:val="729535C8"/>
    <w:rsid w:val="72A921D9"/>
    <w:rsid w:val="72BA6194"/>
    <w:rsid w:val="72F5541E"/>
    <w:rsid w:val="72F84D2E"/>
    <w:rsid w:val="72FF44EF"/>
    <w:rsid w:val="730B60F4"/>
    <w:rsid w:val="732857F3"/>
    <w:rsid w:val="73345CFF"/>
    <w:rsid w:val="73634A7D"/>
    <w:rsid w:val="736B56E0"/>
    <w:rsid w:val="7370719A"/>
    <w:rsid w:val="73893DB8"/>
    <w:rsid w:val="7399224D"/>
    <w:rsid w:val="739C7F8F"/>
    <w:rsid w:val="73AF1A71"/>
    <w:rsid w:val="73B928EF"/>
    <w:rsid w:val="73B9469D"/>
    <w:rsid w:val="73EE611A"/>
    <w:rsid w:val="73F676A0"/>
    <w:rsid w:val="73F90F3E"/>
    <w:rsid w:val="740A4EF9"/>
    <w:rsid w:val="74143FCA"/>
    <w:rsid w:val="74145D78"/>
    <w:rsid w:val="741B0EB4"/>
    <w:rsid w:val="742835D1"/>
    <w:rsid w:val="742A6D5C"/>
    <w:rsid w:val="742E508B"/>
    <w:rsid w:val="743106D8"/>
    <w:rsid w:val="74345F76"/>
    <w:rsid w:val="745A5E80"/>
    <w:rsid w:val="745C6526"/>
    <w:rsid w:val="74602D6B"/>
    <w:rsid w:val="74681C20"/>
    <w:rsid w:val="7476433D"/>
    <w:rsid w:val="74822CE1"/>
    <w:rsid w:val="74A013B9"/>
    <w:rsid w:val="74A25132"/>
    <w:rsid w:val="74A964C0"/>
    <w:rsid w:val="74AF784E"/>
    <w:rsid w:val="74B84955"/>
    <w:rsid w:val="74D53759"/>
    <w:rsid w:val="74E92D60"/>
    <w:rsid w:val="74EC2851"/>
    <w:rsid w:val="7530098F"/>
    <w:rsid w:val="753066B0"/>
    <w:rsid w:val="753D30AC"/>
    <w:rsid w:val="75461F61"/>
    <w:rsid w:val="754F0EC8"/>
    <w:rsid w:val="755503F6"/>
    <w:rsid w:val="755F3023"/>
    <w:rsid w:val="756C2012"/>
    <w:rsid w:val="757271FA"/>
    <w:rsid w:val="757A60AE"/>
    <w:rsid w:val="75835778"/>
    <w:rsid w:val="759233F8"/>
    <w:rsid w:val="75952EE8"/>
    <w:rsid w:val="759C7DD3"/>
    <w:rsid w:val="75A31161"/>
    <w:rsid w:val="75BE5F9B"/>
    <w:rsid w:val="75CB4B5C"/>
    <w:rsid w:val="75DC4673"/>
    <w:rsid w:val="75F44423"/>
    <w:rsid w:val="762B1157"/>
    <w:rsid w:val="76876CD5"/>
    <w:rsid w:val="768C7E47"/>
    <w:rsid w:val="768D3BBF"/>
    <w:rsid w:val="769413F2"/>
    <w:rsid w:val="76A5715B"/>
    <w:rsid w:val="76A74C81"/>
    <w:rsid w:val="76B92C06"/>
    <w:rsid w:val="76BA0E58"/>
    <w:rsid w:val="76BE1FCB"/>
    <w:rsid w:val="76C23869"/>
    <w:rsid w:val="76DE441B"/>
    <w:rsid w:val="76FE0619"/>
    <w:rsid w:val="77065E4C"/>
    <w:rsid w:val="7711659E"/>
    <w:rsid w:val="772E53A2"/>
    <w:rsid w:val="773A5AF5"/>
    <w:rsid w:val="774150D6"/>
    <w:rsid w:val="77456248"/>
    <w:rsid w:val="77677888"/>
    <w:rsid w:val="77770AF7"/>
    <w:rsid w:val="777C610E"/>
    <w:rsid w:val="777C7EBC"/>
    <w:rsid w:val="777D59E2"/>
    <w:rsid w:val="7783749C"/>
    <w:rsid w:val="77883C14"/>
    <w:rsid w:val="77903967"/>
    <w:rsid w:val="77935205"/>
    <w:rsid w:val="779C67B0"/>
    <w:rsid w:val="77A45665"/>
    <w:rsid w:val="77A64F39"/>
    <w:rsid w:val="77C17FC5"/>
    <w:rsid w:val="77CF052E"/>
    <w:rsid w:val="77D00208"/>
    <w:rsid w:val="77DC6BAC"/>
    <w:rsid w:val="77EF4B32"/>
    <w:rsid w:val="77FE2FC7"/>
    <w:rsid w:val="78126A72"/>
    <w:rsid w:val="78153E6C"/>
    <w:rsid w:val="78160310"/>
    <w:rsid w:val="78212811"/>
    <w:rsid w:val="78216CB5"/>
    <w:rsid w:val="782D11B6"/>
    <w:rsid w:val="782F4F2E"/>
    <w:rsid w:val="78320EC2"/>
    <w:rsid w:val="78395DAD"/>
    <w:rsid w:val="785456A1"/>
    <w:rsid w:val="7883527A"/>
    <w:rsid w:val="78872FBC"/>
    <w:rsid w:val="788A2AAC"/>
    <w:rsid w:val="78A551F0"/>
    <w:rsid w:val="78B611AB"/>
    <w:rsid w:val="78B74F24"/>
    <w:rsid w:val="78C95383"/>
    <w:rsid w:val="78CF226D"/>
    <w:rsid w:val="78DD498A"/>
    <w:rsid w:val="78DE6954"/>
    <w:rsid w:val="78E26444"/>
    <w:rsid w:val="78E73A5B"/>
    <w:rsid w:val="78F15F3A"/>
    <w:rsid w:val="79075EAB"/>
    <w:rsid w:val="79077C59"/>
    <w:rsid w:val="790A599B"/>
    <w:rsid w:val="790A7749"/>
    <w:rsid w:val="791365FE"/>
    <w:rsid w:val="791B5F6E"/>
    <w:rsid w:val="791D747D"/>
    <w:rsid w:val="79273E57"/>
    <w:rsid w:val="7931117A"/>
    <w:rsid w:val="79420C91"/>
    <w:rsid w:val="79490877"/>
    <w:rsid w:val="79652BD2"/>
    <w:rsid w:val="797572B9"/>
    <w:rsid w:val="79870D9A"/>
    <w:rsid w:val="79915775"/>
    <w:rsid w:val="799728E1"/>
    <w:rsid w:val="79986B03"/>
    <w:rsid w:val="799F4335"/>
    <w:rsid w:val="79A61220"/>
    <w:rsid w:val="79B3393D"/>
    <w:rsid w:val="79BA116F"/>
    <w:rsid w:val="79BF22E2"/>
    <w:rsid w:val="79CB6ED9"/>
    <w:rsid w:val="79E104AA"/>
    <w:rsid w:val="79E306C6"/>
    <w:rsid w:val="79FF06C1"/>
    <w:rsid w:val="7A0E5017"/>
    <w:rsid w:val="7A1E34AC"/>
    <w:rsid w:val="7A232871"/>
    <w:rsid w:val="7A480529"/>
    <w:rsid w:val="7A57076C"/>
    <w:rsid w:val="7A5E5F9F"/>
    <w:rsid w:val="7A664E53"/>
    <w:rsid w:val="7A6D4434"/>
    <w:rsid w:val="7A7632E8"/>
    <w:rsid w:val="7A777060"/>
    <w:rsid w:val="7A7C6425"/>
    <w:rsid w:val="7A9B116F"/>
    <w:rsid w:val="7AA54AFB"/>
    <w:rsid w:val="7AA8546C"/>
    <w:rsid w:val="7ABE4C8F"/>
    <w:rsid w:val="7AC53928"/>
    <w:rsid w:val="7AD7365B"/>
    <w:rsid w:val="7AF1296F"/>
    <w:rsid w:val="7B0A3A31"/>
    <w:rsid w:val="7B0E3521"/>
    <w:rsid w:val="7B1228E5"/>
    <w:rsid w:val="7B1D7C08"/>
    <w:rsid w:val="7B292109"/>
    <w:rsid w:val="7B5B24DE"/>
    <w:rsid w:val="7B656EB9"/>
    <w:rsid w:val="7B67448C"/>
    <w:rsid w:val="7B825CBD"/>
    <w:rsid w:val="7BA93249"/>
    <w:rsid w:val="7BAB6FC2"/>
    <w:rsid w:val="7BB104F0"/>
    <w:rsid w:val="7BC260B9"/>
    <w:rsid w:val="7BCB31C0"/>
    <w:rsid w:val="7BCB7664"/>
    <w:rsid w:val="7BD06A28"/>
    <w:rsid w:val="7BD227A0"/>
    <w:rsid w:val="7BD36518"/>
    <w:rsid w:val="7BD55DED"/>
    <w:rsid w:val="7BDF6C6B"/>
    <w:rsid w:val="7BE129E3"/>
    <w:rsid w:val="7BE20509"/>
    <w:rsid w:val="7BEE3352"/>
    <w:rsid w:val="7C15268D"/>
    <w:rsid w:val="7C1A5EF5"/>
    <w:rsid w:val="7C2154D6"/>
    <w:rsid w:val="7C3C2310"/>
    <w:rsid w:val="7C605FFE"/>
    <w:rsid w:val="7C653614"/>
    <w:rsid w:val="7C66113B"/>
    <w:rsid w:val="7C6B6751"/>
    <w:rsid w:val="7C7A30B4"/>
    <w:rsid w:val="7C7C270C"/>
    <w:rsid w:val="7C810F39"/>
    <w:rsid w:val="7C8F243F"/>
    <w:rsid w:val="7C93004B"/>
    <w:rsid w:val="7C9B7036"/>
    <w:rsid w:val="7CA3413D"/>
    <w:rsid w:val="7CB023B6"/>
    <w:rsid w:val="7CBB1486"/>
    <w:rsid w:val="7CC77E2B"/>
    <w:rsid w:val="7CD24A22"/>
    <w:rsid w:val="7CE00EED"/>
    <w:rsid w:val="7CEC1640"/>
    <w:rsid w:val="7D034BDB"/>
    <w:rsid w:val="7D036989"/>
    <w:rsid w:val="7D0821F2"/>
    <w:rsid w:val="7D083FA0"/>
    <w:rsid w:val="7D0C7F34"/>
    <w:rsid w:val="7D0F1A31"/>
    <w:rsid w:val="7D16490F"/>
    <w:rsid w:val="7D2863F0"/>
    <w:rsid w:val="7D380D29"/>
    <w:rsid w:val="7D4F7E21"/>
    <w:rsid w:val="7D68590C"/>
    <w:rsid w:val="7D755AD9"/>
    <w:rsid w:val="7D823D52"/>
    <w:rsid w:val="7D891584"/>
    <w:rsid w:val="7D985324"/>
    <w:rsid w:val="7DA55C93"/>
    <w:rsid w:val="7DBC3708"/>
    <w:rsid w:val="7DC425BD"/>
    <w:rsid w:val="7DD00F61"/>
    <w:rsid w:val="7DD722F0"/>
    <w:rsid w:val="7DFA7D8C"/>
    <w:rsid w:val="7E001EF2"/>
    <w:rsid w:val="7E0155BF"/>
    <w:rsid w:val="7E1F77F3"/>
    <w:rsid w:val="7E431733"/>
    <w:rsid w:val="7E462FD2"/>
    <w:rsid w:val="7E5C0A47"/>
    <w:rsid w:val="7E5E656D"/>
    <w:rsid w:val="7E6478FC"/>
    <w:rsid w:val="7E665422"/>
    <w:rsid w:val="7E7A2C7B"/>
    <w:rsid w:val="7EAD4DFF"/>
    <w:rsid w:val="7EB73ECF"/>
    <w:rsid w:val="7EC9775F"/>
    <w:rsid w:val="7ED625A7"/>
    <w:rsid w:val="7EEC1DCB"/>
    <w:rsid w:val="7EEF3669"/>
    <w:rsid w:val="7EF667A6"/>
    <w:rsid w:val="7F01339C"/>
    <w:rsid w:val="7F0215EE"/>
    <w:rsid w:val="7F127358"/>
    <w:rsid w:val="7F281A58"/>
    <w:rsid w:val="7F323556"/>
    <w:rsid w:val="7F5B485B"/>
    <w:rsid w:val="7F637BB3"/>
    <w:rsid w:val="7F6C2F0C"/>
    <w:rsid w:val="7F6F47AA"/>
    <w:rsid w:val="7F737DF6"/>
    <w:rsid w:val="7F791185"/>
    <w:rsid w:val="7F842003"/>
    <w:rsid w:val="7F945FBF"/>
    <w:rsid w:val="7F9B734D"/>
    <w:rsid w:val="7F9F6E3D"/>
    <w:rsid w:val="7FA72040"/>
    <w:rsid w:val="7FBB354B"/>
    <w:rsid w:val="7FD05249"/>
    <w:rsid w:val="7FD627F5"/>
    <w:rsid w:val="7FDA60C7"/>
    <w:rsid w:val="7FF058EB"/>
    <w:rsid w:val="7FF56A5D"/>
    <w:rsid w:val="7FFD5912"/>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2"/>
    <w:basedOn w:val="1"/>
    <w:next w:val="4"/>
    <w:qFormat/>
    <w:uiPriority w:val="0"/>
    <w:pPr>
      <w:keepNext/>
      <w:keepLines/>
      <w:numPr>
        <w:ilvl w:val="1"/>
        <w:numId w:val="1"/>
      </w:numPr>
      <w:spacing w:before="260" w:after="260" w:line="415" w:lineRule="auto"/>
      <w:ind w:firstLine="200" w:firstLineChars="200"/>
      <w:jc w:val="center"/>
      <w:outlineLvl w:val="1"/>
    </w:pPr>
    <w:rPr>
      <w:rFonts w:ascii="Arial" w:hAnsi="Arial" w:eastAsia="幼圆" w:cs="Arial"/>
      <w:b/>
      <w:bCs/>
      <w:sz w:val="44"/>
      <w:szCs w:val="44"/>
    </w:rPr>
  </w:style>
  <w:style w:type="paragraph" w:styleId="5">
    <w:name w:val="heading 4"/>
    <w:basedOn w:val="1"/>
    <w:next w:val="1"/>
    <w:qFormat/>
    <w:uiPriority w:val="9"/>
    <w:pPr>
      <w:keepNext/>
      <w:keepLines/>
      <w:spacing w:line="376" w:lineRule="auto"/>
      <w:outlineLvl w:val="3"/>
    </w:pPr>
    <w:rPr>
      <w:rFonts w:ascii="Cambria" w:hAnsi="Cambria" w:cs="Times New Roman"/>
      <w:b/>
      <w:bCs/>
      <w:kern w:val="0"/>
      <w:sz w:val="28"/>
      <w:szCs w:val="28"/>
    </w:r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1"/>
    <w:pPr>
      <w:autoSpaceDE w:val="0"/>
      <w:autoSpaceDN w:val="0"/>
      <w:jc w:val="left"/>
    </w:pPr>
    <w:rPr>
      <w:rFonts w:ascii="宋体" w:hAnsi="宋体" w:cs="宋体"/>
      <w:kern w:val="0"/>
      <w:lang w:val="zh-CN" w:bidi="zh-CN"/>
    </w:rPr>
  </w:style>
  <w:style w:type="paragraph" w:styleId="4">
    <w:name w:val="Normal Indent"/>
    <w:basedOn w:val="1"/>
    <w:qFormat/>
    <w:uiPriority w:val="0"/>
    <w:pPr>
      <w:ind w:firstLine="420"/>
    </w:pPr>
    <w:rPr>
      <w:szCs w:val="20"/>
    </w:rPr>
  </w:style>
  <w:style w:type="paragraph" w:styleId="6">
    <w:name w:val="annotation text"/>
    <w:basedOn w:val="1"/>
    <w:link w:val="35"/>
    <w:qFormat/>
    <w:uiPriority w:val="99"/>
    <w:pPr>
      <w:jc w:val="left"/>
    </w:pPr>
  </w:style>
  <w:style w:type="paragraph" w:styleId="7">
    <w:name w:val="Body Text Indent"/>
    <w:basedOn w:val="1"/>
    <w:qFormat/>
    <w:uiPriority w:val="0"/>
    <w:pPr>
      <w:ind w:firstLine="645"/>
    </w:pPr>
    <w:rPr>
      <w:rFonts w:ascii="Arial" w:hAnsi="Arial" w:eastAsia="仿宋_GB2312"/>
      <w:sz w:val="28"/>
    </w:rPr>
  </w:style>
  <w:style w:type="paragraph" w:styleId="8">
    <w:name w:val="Block Text"/>
    <w:basedOn w:val="1"/>
    <w:qFormat/>
    <w:uiPriority w:val="99"/>
    <w:pPr>
      <w:spacing w:after="120"/>
      <w:ind w:left="1440" w:leftChars="700" w:right="1440" w:rightChars="700"/>
    </w:pPr>
  </w:style>
  <w:style w:type="paragraph" w:styleId="9">
    <w:name w:val="index 4"/>
    <w:basedOn w:val="1"/>
    <w:next w:val="1"/>
    <w:qFormat/>
    <w:uiPriority w:val="99"/>
    <w:pPr>
      <w:ind w:left="600" w:leftChars="600"/>
    </w:pPr>
    <w:rPr>
      <w:rFonts w:ascii="Verdana" w:hAnsi="Verdana"/>
      <w:szCs w:val="20"/>
    </w:rPr>
  </w:style>
  <w:style w:type="paragraph" w:styleId="10">
    <w:name w:val="Plain Text"/>
    <w:basedOn w:val="1"/>
    <w:next w:val="1"/>
    <w:qFormat/>
    <w:uiPriority w:val="0"/>
    <w:rPr>
      <w:rFonts w:hint="eastAsia" w:ascii="宋体" w:hAnsi="Courier New"/>
      <w:szCs w:val="20"/>
    </w:rPr>
  </w:style>
  <w:style w:type="paragraph" w:styleId="11">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2">
    <w:name w:val="envelope return"/>
    <w:basedOn w:val="1"/>
    <w:qFormat/>
    <w:uiPriority w:val="0"/>
    <w:pPr>
      <w:snapToGrid w:val="0"/>
    </w:pPr>
    <w:rPr>
      <w:rFonts w:ascii="Arial" w:hAnsi="Arial"/>
    </w:rPr>
  </w:style>
  <w:style w:type="paragraph" w:styleId="13">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4">
    <w:name w:val="toc 1"/>
    <w:basedOn w:val="1"/>
    <w:next w:val="1"/>
    <w:qFormat/>
    <w:uiPriority w:val="39"/>
    <w:pPr>
      <w:spacing w:before="120" w:after="120"/>
      <w:jc w:val="left"/>
    </w:pPr>
    <w:rPr>
      <w:b/>
      <w:bCs/>
      <w:caps/>
      <w:sz w:val="20"/>
      <w:szCs w:val="20"/>
    </w:rPr>
  </w:style>
  <w:style w:type="paragraph" w:styleId="15">
    <w:name w:val="toc 2"/>
    <w:basedOn w:val="1"/>
    <w:next w:val="1"/>
    <w:qFormat/>
    <w:uiPriority w:val="39"/>
    <w:pPr>
      <w:ind w:left="210"/>
      <w:jc w:val="left"/>
    </w:pPr>
    <w:rPr>
      <w:smallCaps/>
      <w:sz w:val="20"/>
      <w:szCs w:val="20"/>
    </w:rPr>
  </w:style>
  <w:style w:type="paragraph" w:styleId="16">
    <w:name w:val="Body Text 2"/>
    <w:basedOn w:val="1"/>
    <w:qFormat/>
    <w:uiPriority w:val="99"/>
    <w:pPr>
      <w:spacing w:after="120" w:line="480" w:lineRule="auto"/>
    </w:pPr>
  </w:style>
  <w:style w:type="paragraph" w:styleId="1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8">
    <w:name w:val="annotation subject"/>
    <w:basedOn w:val="6"/>
    <w:next w:val="6"/>
    <w:link w:val="36"/>
    <w:qFormat/>
    <w:uiPriority w:val="0"/>
    <w:rPr>
      <w:b/>
      <w:bCs/>
    </w:rPr>
  </w:style>
  <w:style w:type="paragraph" w:styleId="19">
    <w:name w:val="Body Text First Indent 2"/>
    <w:basedOn w:val="7"/>
    <w:next w:val="1"/>
    <w:qFormat/>
    <w:uiPriority w:val="99"/>
    <w:pPr>
      <w:ind w:firstLine="420" w:firstLineChars="200"/>
    </w:p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annotation reference"/>
    <w:basedOn w:val="22"/>
    <w:qFormat/>
    <w:uiPriority w:val="0"/>
    <w:rPr>
      <w:sz w:val="21"/>
      <w:szCs w:val="21"/>
    </w:rPr>
  </w:style>
  <w:style w:type="paragraph" w:customStyle="1" w:styleId="25">
    <w:name w:val="DAS正文"/>
    <w:qFormat/>
    <w:uiPriority w:val="0"/>
    <w:pPr>
      <w:widowControl w:val="0"/>
      <w:spacing w:line="360" w:lineRule="auto"/>
      <w:ind w:right="181" w:firstLine="480"/>
      <w:jc w:val="both"/>
    </w:pPr>
    <w:rPr>
      <w:rFonts w:ascii="Verdana" w:hAnsi="Verdana" w:eastAsia="宋体" w:cs="Times New Roman"/>
      <w:kern w:val="2"/>
      <w:sz w:val="21"/>
      <w:szCs w:val="24"/>
      <w:lang w:val="en-US" w:eastAsia="zh-CN" w:bidi="ar-SA"/>
    </w:rPr>
  </w:style>
  <w:style w:type="paragraph" w:customStyle="1" w:styleId="26">
    <w:name w:val="_Style 1"/>
    <w:basedOn w:val="1"/>
    <w:autoRedefine/>
    <w:qFormat/>
    <w:uiPriority w:val="0"/>
    <w:pPr>
      <w:ind w:firstLine="420"/>
    </w:pPr>
    <w:rPr>
      <w:sz w:val="20"/>
    </w:rPr>
  </w:style>
  <w:style w:type="paragraph" w:customStyle="1" w:styleId="27">
    <w:name w:val="报告正文"/>
    <w:basedOn w:val="1"/>
    <w:qFormat/>
    <w:uiPriority w:val="0"/>
    <w:pPr>
      <w:adjustRightInd w:val="0"/>
      <w:snapToGrid w:val="0"/>
      <w:ind w:firstLine="560" w:firstLineChars="200"/>
    </w:pPr>
    <w:rPr>
      <w:kern w:val="0"/>
      <w:szCs w:val="20"/>
      <w:lang w:val="zh-CN"/>
    </w:rPr>
  </w:style>
  <w:style w:type="paragraph" w:customStyle="1" w:styleId="28">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29">
    <w:name w:val="一级目录"/>
    <w:next w:val="1"/>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paragraph" w:customStyle="1" w:styleId="30">
    <w:name w:val="二级目录"/>
    <w:next w:val="1"/>
    <w:qFormat/>
    <w:uiPriority w:val="99"/>
    <w:pPr>
      <w:numPr>
        <w:ilvl w:val="0"/>
        <w:numId w:val="2"/>
      </w:numPr>
      <w:outlineLvl w:val="1"/>
    </w:pPr>
    <w:rPr>
      <w:rFonts w:ascii="Calibri" w:hAnsi="Calibri" w:eastAsia="宋体" w:cs="Times New Roman"/>
      <w:b/>
      <w:bCs/>
      <w:kern w:val="2"/>
      <w:sz w:val="28"/>
      <w:szCs w:val="28"/>
      <w:lang w:val="en-US" w:eastAsia="zh-CN" w:bidi="ar-SA"/>
    </w:rPr>
  </w:style>
  <w:style w:type="paragraph" w:customStyle="1" w:styleId="31">
    <w:name w:val="列出段落1"/>
    <w:basedOn w:val="1"/>
    <w:qFormat/>
    <w:uiPriority w:val="99"/>
    <w:pPr>
      <w:ind w:firstLine="420" w:firstLineChars="200"/>
    </w:pPr>
  </w:style>
  <w:style w:type="paragraph" w:customStyle="1" w:styleId="32">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33">
    <w:name w:val="Char1"/>
    <w:basedOn w:val="1"/>
    <w:qFormat/>
    <w:uiPriority w:val="99"/>
    <w:rPr>
      <w:rFonts w:ascii="Tahoma" w:hAnsi="Tahoma" w:cs="Tahoma"/>
      <w:sz w:val="24"/>
      <w:szCs w:val="24"/>
    </w:rPr>
  </w:style>
  <w:style w:type="paragraph" w:customStyle="1" w:styleId="34">
    <w:name w:val="Revision_a123bb84-8258-4316-8981-b7c114b55ee6"/>
    <w:qFormat/>
    <w:uiPriority w:val="99"/>
    <w:rPr>
      <w:rFonts w:ascii="Calibri" w:hAnsi="Calibri" w:eastAsia="宋体" w:cs="Calibri"/>
      <w:kern w:val="2"/>
      <w:sz w:val="21"/>
      <w:szCs w:val="21"/>
      <w:lang w:val="en-US" w:eastAsia="zh-CN" w:bidi="ar-SA"/>
    </w:rPr>
  </w:style>
  <w:style w:type="character" w:customStyle="1" w:styleId="35">
    <w:name w:val="批注文字 Char"/>
    <w:basedOn w:val="22"/>
    <w:link w:val="6"/>
    <w:qFormat/>
    <w:uiPriority w:val="99"/>
    <w:rPr>
      <w:rFonts w:ascii="Calibri" w:hAnsi="Calibri" w:eastAsia="宋体" w:cs="Calibri"/>
      <w:kern w:val="2"/>
      <w:sz w:val="21"/>
      <w:szCs w:val="21"/>
    </w:rPr>
  </w:style>
  <w:style w:type="character" w:customStyle="1" w:styleId="36">
    <w:name w:val="批注主题 Char"/>
    <w:basedOn w:val="35"/>
    <w:link w:val="18"/>
    <w:qFormat/>
    <w:uiPriority w:val="0"/>
    <w:rPr>
      <w:rFonts w:ascii="Calibri" w:hAnsi="Calibri" w:eastAsia="宋体" w:cs="Calibri"/>
      <w:b/>
      <w:bCs/>
      <w:kern w:val="2"/>
      <w:sz w:val="21"/>
      <w:szCs w:val="21"/>
    </w:rPr>
  </w:style>
  <w:style w:type="paragraph" w:customStyle="1" w:styleId="37">
    <w:name w:val="纯文本1"/>
    <w:basedOn w:val="1"/>
    <w:qFormat/>
    <w:uiPriority w:val="0"/>
    <w:pPr>
      <w:widowControl/>
    </w:pPr>
    <w:rPr>
      <w:rFonts w:hAnsi="Courier New" w:eastAsia="楷体_GB2312"/>
      <w:sz w:val="26"/>
    </w:rPr>
  </w:style>
  <w:style w:type="paragraph" w:styleId="3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24046</Words>
  <Characters>25032</Characters>
  <Lines>196</Lines>
  <Paragraphs>55</Paragraphs>
  <TotalTime>0</TotalTime>
  <ScaleCrop>false</ScaleCrop>
  <LinksUpToDate>false</LinksUpToDate>
  <CharactersWithSpaces>26052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2022-02-08T07:59:00Z</dcterms:created>
  <dc:creator>张丽</dc:creator>
  <cp:lastModifiedBy>WPS_1695114314</cp:lastModifiedBy>
  <cp:lastPrinted>2022-09-13T04:10:00Z</cp:lastPrinted>
  <dcterms:modified xsi:type="dcterms:W3CDTF">2024-08-12T09:24:30Z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6DA5C835BD9B4FF0A7ECE548E5D84151_13</vt:lpwstr>
  </property>
</Properties>
</file>